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439 vom 20. Juni 2014</w:t>
      </w:r>
    </w:p>
    <w:p>
      <w:r>
        <w:t>VD Tribunal cantonal, 2014-06-20, FR</w:t>
      </w:r>
    </w:p>
    <w:p>
      <w:r>
        <w:rPr>
          <w:b/>
        </w:rPr>
        <w:t xml:space="preserve">Quelle: </w:t>
      </w:r>
      <w:r>
        <w:t>https://mcp.opencaselaw.ch/entscheid/vd_findinfo_D_cision___2014___439</w:t>
      </w:r>
    </w:p>
    <w:p>
      <w:r>
        <w:t>FR: VD_FINDINFO Décision / 2014 / 439 du 20 juin 2014</w:t>
      </w:r>
    </w:p>
    <w:p>
      <w:r>
        <w:t>IT: VD_FINDINFO Décision / 2014 / 439 del 20 giugno 2014</w:t>
      </w:r>
    </w:p>
    <w:p>
      <w:pPr>
        <w:pStyle w:val="Heading2"/>
      </w:pPr>
      <w:r>
        <w:t>Regeste</w:t>
      </w:r>
    </w:p>
    <w:p>
      <w:r>
        <w:t>ESCROQUERIE, DÉCISION D'IRRECEVABILITÉ | 146 CP, 310 CPP (CH)</w:t>
      </w:r>
    </w:p>
    <w:p>
      <w:pPr>
        <w:pStyle w:val="Heading2"/>
      </w:pPr>
      <w:r>
        <w:t>Erwägungen</w:t>
      </w:r>
    </w:p>
    <w:p>
      <w:r>
        <w:rPr>
          <w:b/>
        </w:rPr>
        <w:t>E. 1</w:t>
      </w:r>
    </w:p>
    <w:p>
      <w:r>
        <w:t>CPP) et dans les formes prescrites (art. 385 al. 1 CPP), le recours est recevable.</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La recourante fait d’abord valoir que son droit d’être entendu n’aurait pas été respecté, car ni elle ni M.________ n’ont été auditionnés par le Ministère public, ce qui aurait permis au procureur d’avoir une meilleure perception des infractions commises. Ce grief doit être rejeté. En effet, la recourante a déposé une plainte auprès de la Police de la Riviera. Elle a ainsi pu pleinement s’exprimer en exposant l’intégralité de ses soupçons aux policiers (P. 1). Sa plainte a ensuite été transmise au Ministère public de l’arrondissement de l’Est vaudois. Comme il ressort de la loi, le procureur est libre de renoncer à ouvrir une instruction et de rendre immédiatement une ordonnance de non-entrée en matière, si l’une des hypothèses de l’art. 310 al. 1 CPP est remplie. Dès lors que le procureur refuse d’entrer en matière, le droit d’être entendu de la plaignante s’exerce au moyen du recours contre l’ordonnance de non-entrée en matière (TF 1B_526/2012 du 24 juin 2013 c. 2.3). Ayant recouru le 10 février 2014 contre l’ordonnance de non-entrée en matière du 16 janvier 2014, V.________ a donc exercé son droit d’être entendu.</w:t>
      </w:r>
    </w:p>
    <w:p>
      <w:r>
        <w:rPr>
          <w:b/>
        </w:rPr>
        <w:t>E. 4</w:t>
      </w:r>
    </w:p>
    <w:p>
      <w:r>
        <w:t>La recourante soutient ensuite qu’il existerait des soupçons suffisants pour ordonner l’ouverture d’une instruction pénale contre M.________ pour abus de confiance, escroquerie, atteinte astucieuse aux intérêts pécuniaires d’autrui et faux renseignements sur des entreprises commerciales. a)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 Geller/Monnier/Moreillon/Piguet/Bettex/Stoll [éd.], Petit commentaire du Code pénal, Bâle 2012, n. 1 ad. art. 146 CP, p. 831).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(TF 6B_314/2011 du 27 octobre 2011 c. 3.2.1). Cependant, il n’est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(ibidem). La jurisprudence admet l'astuce dans le cas où la dupe n'a pas la possibilité de vérifier les affirmations transmises ou si leur vérification se révèle très difficile,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b) Sur la base du dossier dont il disposait, le procureur a, à juste titre, considéré qu’il s’agissait d’une affaire purement civile : la recourante se plaignait d’une mauvaise exécution du contrat et ne mettait pas en avant d’éléments permettant de soupçonner l’existence d’une infraction pénale. Dans son recours du 10 février 2014, la plaignante a mis en avant un élément nouveau, à savoir la faillite de S.________, prononcée le 8 novembre 2013. En effet, il ressort de l’extrait du Registre du commerce (P. 11/1) que la dissolution de la société et sa liquidation selon la disposition applicable à la faillite a bien été prononcée le 8 novembre 2013, en application de l’art. 731b CO. Par ailleurs, la faillite a été clôturée faute d’actifs le 12 février 2014, ce qui implique que les biens de la masse ne suffisaient même pas à couvrir les frais de liquidation. Il n’est dès lors pas exclu que M.________ ait conclu le contrat du 10 septembre 2013 tout en sachant qu’il ne serait pas en mesure de l’honorer. Cette question relève de l’établissement des faits qui n’ont pas été instruits et qui ne ressortent pas du dossier. L’existence d’une escroquerie au sens de l’art. 146 CP paraît ainsi être envisageable, ou, à titre subsidiaire, une atteinte astucieuse aux intérêts pécuniaires d’autrui au sens de l’art. 151 CP. En revanche, à ce stade, aucun élément ne permet de conclure que les éléments constitutifs de l’abus de confiance et de faux renseignements sur des entreprises commerciales, tels qu’invoqués par la recourante, seraient réalisés. A ce stade, il est toutefois prématuré de conclure que le litige opposant les parties est de nature purement civile. Par conséquent, il est nécessaire que le procureur ouvre une instruction conformément à l'art. 309 CPP. c) Concernant la réquisition de preuves complémentaires déposée par le conseil de la recourante, il reviendra au procureur de statuer, dans le cadre de son instruction, sur l’opportunité de verser au dossier la procédure pénale zurichoise ouverte à l’encontre de M.________.</w:t>
      </w:r>
    </w:p>
    <w:p>
      <w:r>
        <w:rPr>
          <w:b/>
        </w:rPr>
        <w:t>E. 5</w:t>
      </w:r>
    </w:p>
    <w:p>
      <w:r>
        <w:t>Sur le vu de ce qui précède, le recours doit être admis, l'ordonnance du 16 janvier 2014 annulée et le dossier de la cause renvoyé au Ministère public de l'arrondissement de l’Est vaudois pour qu'il procède dans le sens des considérants, puis rende une nouvelle décision. La recourante obtenant gain de cause, les frais d'arrêt, par 770 fr. (art. 20 al. 1 TFIP [tarif des frais judiciaires de procédure et indemnités en matière pénale du 28 septembre 2010; RSV 312.03.1]), seront laissés à la charge de l'Etat (art. 423 al. 1 CPP). Enfin,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16 janvier 2014 est annulée. III. Le dossier de la cause est renvoyé au Procureur de l’arrondissement de l’Est vaudois pour qu'il procède dans le sens des considérants, puis rende une nouvelle décision. IV. Les frais d'arrêt, par 770 fr. (sept cent septante francs), sont laissés à la charge de l’Etat. V. Le montant de 440 fr. (quatre cent quarante francs) déjà versé par V.________ à titre de sûretés lui est restitué. VI. Le présent arrêt est exécutoire. Le président :               La greffière : Du L'arrêt qui précède, dont la rédaction a été approuvée à huis clos, est notifié, par l'envoi d'une copie complète, à : - Me Filippo Ryter, avocat (pour V.________),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