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436 vom 20. Mai 2014</w:t>
      </w:r>
    </w:p>
    <w:p>
      <w:r>
        <w:t>VD Tribunal cantonal, 2014-05-20, FR</w:t>
      </w:r>
    </w:p>
    <w:p>
      <w:r>
        <w:rPr>
          <w:b/>
        </w:rPr>
        <w:t xml:space="preserve">Quelle: </w:t>
      </w:r>
      <w:r>
        <w:t>https://mcp.opencaselaw.ch/entscheid/vd_findinfo_D_cision___2014___436</w:t>
      </w:r>
    </w:p>
    <w:p>
      <w:r>
        <w:t>FR: VD_FINDINFO Décision / 2014 / 436 du 20 mai 2014</w:t>
      </w:r>
    </w:p>
    <w:p>
      <w:r>
        <w:t>IT: VD_FINDINFO Décision / 2014 / 436 del 20 maggio 2014</w:t>
      </w:r>
    </w:p>
    <w:p>
      <w:pPr>
        <w:pStyle w:val="Heading2"/>
      </w:pPr>
      <w:r>
        <w:t>Regeste</w:t>
      </w:r>
    </w:p>
    <w:p>
      <w:r>
        <w:t>RISQUE DE RÉCIDIVE, DÉTENTION PROVISOIRE | 221 al. 1 let. c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b) En l’espèce, le recours, qui a été interjeté en temps utile devant l’autorité compétente et satisfait aux conditions de forme posées par l’art. 385 al. 1 CPP,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b) En l’espèce, W.________ a, en cours d’enquête, reconnu les faits qui lui étaient reprochés, à l’exception de ceux survenus le 17 août 2013 dont il n’aurait aucun souvenir (PV aud. du 18 février 2014, lignes 118 ss). Dans son recours, le prénommé ne revient pas sur les infractions qui lui sont reprochées en relation avec ces faits, si ce n’est pour affirmer qu’elles auraient été commises alors qu’il était sous l’influence de l’alcool et "totalement oisif" (recours, p. 2). Dans ces circonstances, il existe des présomptions de culpabilité suffisantes à l’encontre du recourant. La condition préalable au maintien de W.________ en détention provisoire est dès lors réalisée.</w:t>
      </w:r>
    </w:p>
    <w:p>
      <w:r>
        <w:rPr>
          <w:b/>
        </w:rPr>
        <w:t>E. 3</w:t>
      </w:r>
    </w:p>
    <w:p>
      <w:r>
        <w:t>Le recourant conteste l’existence du risque de réitération (art. 221 al. 1 let. c CPP). a)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op. cit.,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l’espèce, W.________ a déjà été condamné, de mai 2008 à novembre 2013, à cinq reprises, pour notamment voies de fait, vol, dommages à la propriété, injure, menaces, contrainte, faux dans les certificats et trois fois pour brigandage. Dans le cadre de la présente affaire, il est mis en cause pour, notamment, lésions corporelles simples qualifiées, voies de fait, tentative de brigandage, extorsion et chantage qualifiés et tentative de contrainte, infractions qu’il aurait commises de juin 2013 à février 2014, en agressant des personnes qui ne l’avaient provoqué d’aucune façon et qui auraient eu la malchance de se trouver sur son chemin à un moment où son agressivité le faisait sortir de ses gonds. Le prénommé tente de justifier son comportement en expliquant qu’il était sous l’effet de l’alcool au moment des faits. Cela est toutefois contredit par les déclarations qu’il a faites lors de son audition du 18 février 2014, au cours de laquelle il a affirmé qu’il ne consommait plus d’alcool depuis plus de deux mois (lignes 102 à 105), ce qui ne l’a pas empêché de récidiver, à peine deux jours plus tard. On remarquera par ailleurs, s’agissant des faits survenus dans la nuit du 15 au 16 juin 2013, que le prénommé aurait agi selon le même mode opératoire qu’en 2011, lorsqu’il s’en était pris à un groupe de jeunes pour leur dérober leurs effets personnels (CAPE 19 décembre 2012/297 c. 5.2). Le recourant tente également d’expliquer ses passages à l’acte par des facteurs contextuels, soit par son oisiveté (recours, p. 3); ce comportement est plutôt lié au mode de fonctionnement du prévenu, décrit dans le rapport d’expertise comme une personne qui a tendance à réagir de manière impulsive et violente quand elle se trouve face à des conflits émotionnels. Enfin et surtout, le recourant a récidivé moins de deux mois après sa libération conditionnelle en avril 2013. Dans ces circonstances, force est de constater que le pronostic est clairement défavorable et que les délits dont la réitération est redoutée sont de nature à compromettre sérieusement la sécurité d’autrui, au sens de l’art. 221 al. 1 let. c CPP. c) Le recourant fait valoir, contre l’avis du TMC, qu’il existerait des éléments de nature à justifier une nouvelle appréciation de la situation en ce qui concerne le risque de récidive. Son point de vue ne saurait être partagé. Tout d’abord, l’intéressé dit avoir pris conscience de la gravité de son comportement délictuel, sur lequel il entend désormais tirer un trait. Or, il a tenu le même discours tant devant le Juge d’application des peines, dans le cadre de la procédure d’examen de sa libération conditionnelle (jugement du 25 avril 2013, p. 5 in fine ), que lors de son audition du 18 février 2014, au terme de laquelle il avait par ailleurs été expressément averti qu’un nouvel acte de violence l’exposerait à un placement en détention, ce qui ne l’a pas dissuadé pour autant; cela montre au contraire qu’il n’a opéré aucune remise en question. On constatera sur ce dernier point que l’intéressé est allé jusqu’à affirmer, devant le TMC, qu’il n’était "pas sûr que le Procureur [l’avait] mis en garde" (PV aud. du 5 mai 2014, ligne 33), contredisant ses propres déclarations en cours d’enquête (PV aud. du 27 février 2014, lignes 52 et 53). Ensuite, le fait qu’il ait repris le suivi psychothérapeutique auprès du Dr [...] n’est en soi pas non plus déterminant, dans la mesure où il a déjà, par le passé, bénéficié d’un tel traitement (jugement du 25 avril 2013, p. 6 in fine ), qui est demeuré sans effet; le prévenu a du reste lui-même admis, lors de son audition du 18 février 2014, soit deux jours avant de récidiver, qu’il était toujours suivi par ce médecin (ligne 129). Le recourant propose en outre d’entreprendre une activité, sous forme de formation ou d’emploi, sous la direction de l’OAI; outre le fait que les démarches entreprises par l’intéressé auprès de cet office en vue d’une formation sont restées vaines (PV aud. du 5 mai 2014, lignes 54 et 55), ce qui laisser douter sérieusement de la faisabilité d’un tel projet, on relèvera que le Juge d’application des peines, dans son ordonnance du 25 avril 2013, a assorti la libération conditionnelle du recourant d’une assistance de probation, dans le but notamment de l’aider dans ses recherches d’emploi, mais l’intéressé – alors que des démarches concrètes avaient déjà été prises auprès du Centre [...] à Lausanne pour lui trouver un travail en cuisine (jugement du 25 avril 2013, p. 6, par. 3) – n’a pas su saisir cette chance, puisqu’il a commis de nouveaux délits peu après, au risque de voir la libération conditionnelle être révoquée, comme cela lui avait d’ailleurs été expliqué par le Juge d’application des peines. La mesure proposée est d’autant moins pertinente que, si l’on en croit l’explication qu’il a fournie dans le courrier du 28 février 2014 que son défenseur a adressé au TMC, le recourant avait débuté, le 19 février 2014, un emploi au sein d’un restaurant à [...], ce qui ne l’a toutefois pas empêché de commettre, le lendemain, de nouveaux délits. Ensuite, la volonté du recourant de vouloir soutenir sa compagne durant sa seconde grossesse et assumer son rôle de père ne constitue pas une garantie suffisante permettant d’exclure le risque de récidive; l’explication qu’il a donnée dans le courrier du 28 février 2014 selon laquelle le jour de son interpellation, il était prévu qu’il emménage avec sa compagne et leur enfant de 6 ans apparaît peu crédible, dans la mesure où, selon le jugement de la Cour d’appel pénale du 19 décembre 2012 (let. C.1), sa relation avec son amie est conflictuelle depuis 2008, soit depuis la naissance de leur premier enfant, qu’il n’a d’ailleurs pas reconnu. Enfin, le fait que le recourant se dise prêt à se soumettre à des contrôles d’abstinence à l’alcool n’est pas déterminant, puisque, comme on l’a vu, l’intéressé a commis une partie des faits qui lui sont reprochés alors qu’il ne consommait plus d’alcool depuis environ deux mois, ce qui tend à confirmer l’appréciation de l’expert selon laquelle les habitudes de consommation d’alcool ne nécessitaient pas la mise en place d’un traitement spécifique. Toutes ces circonstances n’inspirent guère la confiance dont le prévenu prétend être digne. Le risque de récidive, qu’aucune mesure de substitution n’est susceptible de parer, justifie le maintien en détention provisoire du recourant.</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est détenu depuis le 27 février 2014, soit depuis moins de trois mois. Compte tenu de ses antécédents et des charges qui pèsent sur lui, il s'expose à une peine privative de liberté d’une durée supérieure à celle de la détention provisoire subie à ce jour, notamment au vu de la possible révocation de sa libération conditionnelle. Par conséquent, le principe de la proportionnalité est respecté.</w:t>
      </w:r>
    </w:p>
    <w:p>
      <w:r>
        <w:rPr>
          <w:b/>
        </w:rPr>
        <w:t>E. 5</w:t>
      </w:r>
    </w:p>
    <w:p>
      <w:r>
        <w:t>En définitive, le recours, manifestement mal fondé, doit être rejeté sans autre échange d’écritures (art. 390 al. 2 CPP) et l'ordonnance attaquée confirmée. Vu l’issue de la cause, les frais de la procédure de recours, constitués en l’espèce de l'émolument d'arrêt (art. 422 al. 1 CPP), par 1’100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de W.________ ne sera toutefois exigible que pour autant que la situation économique de ce dernier se soit améliorée (art. 135 al. 4 CPP). Par ces motifs, la Chambre des recours pénale, statuant à huis clos, prononce : I. Le recours est rejeté. II. L’ordonnance du 5 mai 2014 est confirmée. III. L’indemnité allouée au défenseur d’office de W.________ est fixée à 486 fr. (quatre cent huitante-six francs). IV. Les frais d'arrêt, par 1’100 fr. (mille cent francs), ainsi que l’indemnité due au défenseur d’office de W.________ selon le chiffre III ci-dessus, sont mis à la charge de ce dernier. V. Le remboursement à l'Etat de l'indemnité allouée au chiffre III ci-dessus sera exigible pour autant que la situation économique de W.________ se soit améliorée. VI. Le présent arrêt est exécutoire. Le président :               Le greffier : Du L'arrêt qui précède, dont la rédaction a été approuvée à huis clos, est notifié, par l'envoi d'une copie complète, à : - M. Yann Jaillet, avocat (pour W.________),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