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435 vom 21. Mai 2014</w:t>
      </w:r>
    </w:p>
    <w:p>
      <w:r>
        <w:t>VD Tribunal cantonal, 2014-05-21, FR</w:t>
      </w:r>
    </w:p>
    <w:p>
      <w:r>
        <w:rPr>
          <w:b/>
        </w:rPr>
        <w:t xml:space="preserve">Quelle: </w:t>
      </w:r>
      <w:r>
        <w:t>https://mcp.opencaselaw.ch/entscheid/vd_findinfo_D_cision___2014___435</w:t>
      </w:r>
    </w:p>
    <w:p>
      <w:r>
        <w:t>FR: VD_FINDINFO Décision / 2014 / 435 du 21 mai 2014</w:t>
      </w:r>
    </w:p>
    <w:p>
      <w:r>
        <w:t>IT: VD_FINDINFO Décision / 2014 / 435 del 21 maggio 2014</w:t>
      </w:r>
    </w:p>
    <w:p>
      <w:pPr>
        <w:pStyle w:val="Heading2"/>
      </w:pPr>
      <w:r>
        <w:t>Regeste</w:t>
      </w:r>
    </w:p>
    <w:p>
      <w:r>
        <w:t>PROLONGATION, DÉTENTION PROVISOIRE, RISQUE DE RÉCIDIVE | 221 al. 1 let. c CPP (CH), 227 CPP (CH), 393 al. 1 let. c CPP (CH)</w:t>
      </w:r>
    </w:p>
    <w:p>
      <w:pPr>
        <w:pStyle w:val="Heading2"/>
      </w:pPr>
      <w:r>
        <w:t>Erwägungen</w:t>
      </w:r>
    </w:p>
    <w:p>
      <w:r>
        <w:rPr>
          <w:b/>
        </w:rPr>
        <w:t>E. 1</w:t>
      </w:r>
    </w:p>
    <w:p>
      <w:r>
        <w:t>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 Ministère public, le Tribunal fédéral a considéré que le silence de la loi à propos du droit de recours du Ministère public n’était pas intentionnel, mais résultait d’un oubli du législateur, et que l’intérêt public à une bonne administration de la justice commandait de reconnaître au Ministère public le droit d’interjeter un recours, au sens des art. 393 ss CPP, contre une décision de mise en liberté rendue par le Tribunal des mesures de contrainte (ATF 137 IV 22 c. 1.2 à 1.4 et les références citées, jurisprudence confirmée ultérieurement à l’ATF 137 IV 87 et à l’ATF 137 IV 230 c. 1). Adressé par écrit, dans le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le recours est donc recevable.</w:t>
      </w:r>
    </w:p>
    <w:p>
      <w:r>
        <w:rPr>
          <w:b/>
        </w:rPr>
        <w:t>E. 2</w:t>
      </w:r>
    </w:p>
    <w:p>
      <w:r>
        <w:t>A titre préalable, il y a lieu de déterminer si le procureur pouvait invoquer, dans le cadre de sa demande de prolongation de la détention provisoire de K.________, des motifs de détention que le Tribunal des mesures de contrainte avait expressément écartés dans le cadre de son ordonnance du 4 mai 2014, alors qu’il n’apportait aucun élément nouveau. A cet égard, il convient d’abord de relever qu’en vertu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(Calame, in : Kuhn/Jeanneret [éd.], Commentaire romand, Code de procédure pénale suisse, 2011, n. 2 ad art. 382 CPP). La qualité pour recourir suppose un intérêt actuel et pratique à obtenir l'annulation de la décision attaquée (TF 1B_111/2010 du 7 mai 2010 c. 1 et les arrêts cités; Ziegler, in : Niggli/Heer/Wiprächtiger [éd.], Schweizerische Strafprozess-ordnung, Basler Kommentar, 2011, n. 2 ad art. 382 CPP; Calame, op. cit., n. 1 ad art. 382 CPP). Cet intérêt ne se détermine qu’en fonction du dispositif de la décision litigieuse, au sens de l’art. 81 al. 1 let. c CPP, et non de ses motifs. C’est en effet du dispositif qu’émanent les effets de la décision. C’est ainsi lui qui jouit de l’autorité de la chose jugée et qui atteint la partie au procès dans ses droits (Calame, op. cit., n.</w:t>
      </w:r>
    </w:p>
    <w:p>
      <w:r>
        <w:rPr>
          <w:b/>
        </w:rPr>
        <w:t>E. 4</w:t>
      </w:r>
    </w:p>
    <w:p>
      <w:r>
        <w:t>a)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K.________ est détenu depuis le 1 er mai 2014, soit depuis vingt jours. Compte tenu des actes qui lui sont reprochés et de ses antécédents, l’intimé s'expose à une peine d’une durée manifestement supérieure à celle de la détention provisoire subie à ce jour. Le principe de la proportionnalité demeure donc respecté.</w:t>
      </w:r>
    </w:p>
    <w:p>
      <w:r>
        <w:rPr>
          <w:b/>
        </w:rPr>
        <w:t>E. 5</w:t>
      </w:r>
    </w:p>
    <w:p>
      <w:r>
        <w:t>Il résulte de ce qui précède que le recours du Ministère public, fondé, doit être admis et l’ordonnance attaquée réformée en ce sens que la prolongation de la détention provisoire de K.________ est ordonnée et que la durée maximale de la prolongation est fixée à trois mois, soit au plus tard jusqu’au 11 août 2014. Les frais de la procédure de recours, constitués en l’espèce de l’émolument d'arrêt, par 1’320 fr. (art. 20 al. 1 TFJP [tarif des frais judiciaires pénaux; RSV 312.03.1]) et des frais imputables à la défense d’office (art. 422 al. 1 et 2 let. a CPP), fixés à 540 fr., plus la TVA par 43 fr.20, soit au total 543 fr. 20, seront mis à la charge de l’intimé, qui succombe (art. 428 al. 1 CPP). Le remboursement à l’Etat de l’indemnité allouée au défenseur d’office de l’intimé ne sera toutefois exigible que pour autant que la situation économique de ce dernier se soit améliorée (art. 135 al. 4 CPP). Par ces motifs, la Chambre des recours pénale, statuant à huis clos, prononce : I. Le recours est admis. II. L'ordonnance du 15 mai 2014 est réformée comme suit aux chiffres I et II de son dispositif: I. ordonne la prolongation de la détention provisoire de K.________. II. fixe la durée maximale de la prolongation à trois mois, soit au plus tard jusqu'au 11 août 2014. III. L'indemnité allouée au défenseur d'office de K.________ est fixée à 543 fr. 20 (cinq cent quarante-trois francs et vingt centimes). IV. Les frais d'arrêt, par 1’320 fr. (mille trois cent vingt francs), ainsi que l'indemnité due au défenseur d'office de K.________, par 543 fr. 20 (cinq cent quarante-trois francs et vingt centimes), sont mis à la charge de ce dernier. V. Le remboursement à l'Etat de l'indemnité allouée au chiffre III ci-dessus sera exigible pour autant que la situation économique de K.________ se soit améliorée. VI. L'arrêt est exécutoire. Le président :               La greffière : Du L'arrêt qui précède, dont la rédaction a été approuvée à huis clos, est notifié, par l'envoi d'une copie complète, à : - Mme Véronique Fontana, avocate (pour K.________) (et par fax), - Ministère public central (et par fax); et communiqué à : ‑ Mme la Présidente du Tribunal des mesures de contrainte (et par fax), - M. le Procureur de l'arrondissement de Lausanne (et par fax), - Hôtel de police de Lausanne (et par fax),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