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431 vom 19. Mai 2014</w:t>
      </w:r>
    </w:p>
    <w:p>
      <w:r>
        <w:t>VD Tribunal cantonal, 2014-05-19, FR</w:t>
      </w:r>
    </w:p>
    <w:p>
      <w:r>
        <w:rPr>
          <w:b/>
        </w:rPr>
        <w:t xml:space="preserve">Quelle: </w:t>
      </w:r>
      <w:r>
        <w:t>https://mcp.opencaselaw.ch/entscheid/vd_findinfo_D_cision___2014___431</w:t>
      </w:r>
    </w:p>
    <w:p>
      <w:r>
        <w:t>FR: VD_FINDINFO Décision / 2014 / 431 du 19 mai 2014</w:t>
      </w:r>
    </w:p>
    <w:p>
      <w:r>
        <w:t>IT: VD_FINDINFO Décision / 2014 / 431 del 19 maggio 2014</w:t>
      </w:r>
    </w:p>
    <w:p>
      <w:pPr>
        <w:pStyle w:val="Heading2"/>
      </w:pPr>
      <w:r>
        <w:t>Regeste</w:t>
      </w:r>
    </w:p>
    <w:p>
      <w:r>
        <w:t>DÉTENTION PROVISOIRE, PROLONGATION, RISQUE DE FUITE, RISQUE DE RÉCIDIVE, SOUPÇON | 221 al. 1 let. a CPP (CH), 221 al. 1 let. c CPP (CH), 222 CPP (CH), 227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soutient qu'il n'existerait pas d'indices de culpabilité sérieux. Il conteste également les motifs de la détention retenus par la première autorité, soit un risque de fuite et un risque de réitération. Dans ses conclusions, il requiert à titre subsidiaire le prononcé de mesures de substitution en lieu et place du maintien en détention provisoire. Enfin, il fait valoir une atteinte au principe de proportionnalité liée au fait qu'on l'empêcherait de voir ses enfants.</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 Le recourant soutient en bref que les soupçons, qui reposeraient uniquement sur les déclarations de la plaignante, ne sauraient être qualifiés de sérieux. La cour de céans a déjà examiné les présomptions de culpabilité à deux reprises dans cette affaire (CREP 22 janvier 2014/42 c. 2c et CREP 21 février 2014/146 c. 2b) et a considéré que les soupçons étaient fondés non seulement sur les déclarations de la plaignante, mais également sur d'autres éléments au dossier, en particulier sur les aveux partiels du recourant lui-même (cf. PV aud. police du 9 janvier 2014, spéc. pp. 6-7) et sur le fait que l'instruction a mis en évidence le fait que le prévenu s'était déjà par le passé comporté de façon violente ou menaçante envers la plaignante, de sorte qu'il existait des indices de culpabilité suffisants. Aucun élément nouveau ne conduit à modifier cette appréciation en faveur du recourant (cf. au contraire P. 36-38), de sorte qu'il peut pour le surplus être renvoyé aux considérants des arrêts précédents (TF 1B_149/2010 du 1 er juin 2010; ATF 114 Ia 281).</w:t>
      </w:r>
    </w:p>
    <w:p>
      <w:r>
        <w:rPr>
          <w:b/>
        </w:rPr>
        <w:t>E. 2.3.1</w:t>
      </w:r>
    </w:p>
    <w:p>
      <w:r>
        <w:t>S’agissant du motif de la détention provisoire, le Tribunal des mesures de contrainte a retenu l’existence d’un risque de fuite et d’un risque de réitération.</w:t>
      </w:r>
    </w:p>
    <w:p>
      <w:r>
        <w:rPr>
          <w:b/>
        </w:rPr>
        <w:t>E. 2.3.2</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138 IV 81, c. 3.1 non publié). Sur ce point également, ainsi que l'a relevé l'autorité précédente, la situation n'a pas évolué depuis le dernier arrêt de la cour de céans, aux considérants duquel il peut être renvoyé (cf. CREP 21 février 2014/146 c. 3b et les références citées au c. 2.2 supra). Force est ainsi de constater que l'absence de liens forts du recourant avec la Suisse et l'importance de la peine dont le prévenu est menacé en cas de condamnation conduisent à retenir l'existence d'un risque de fuite concret.</w:t>
      </w:r>
    </w:p>
    <w:p>
      <w:r>
        <w:rPr>
          <w:b/>
        </w:rPr>
        <w:t>E. 2.3.3</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La cour de céans avait déjà retenu ce motif de détention à l'appui de son dernier arrêt (CREP 21 février 2014/146 c. 4b). S'agissant de la situation actuelle, l'appréciation du ministère public sur ce point, reprise à son compte par le Tribunal des mesures de contrainte, ne prête pas le flanc à la critique. L'avancement de l'instruction a en bref plutôt conduit à un renforcement des craintes de réitération. Le recourant ne semble ainsi toujours pas avoir pris conscience de la gravité des actes incriminés, qu'il persiste à nier pour l'essentiel. Il est en outre apparu qu'entre le 16 mai 2012 et le 5 janvier 2014, la police est intervenue à cinq reprises au domicile d’E.________ en raison d'agissements violents ou à tout le moins menaçants de N.________. (P. 37). Au vu de ces éléments et de la gravité des actes reprochés au recourant dans la présente procédure pénale, en cas de libération du recourant, le risque que ce dernier mette en danger la sécurité d'autrui, en particulier de la plaignante, est concret.</w:t>
      </w:r>
    </w:p>
    <w:p>
      <w:r>
        <w:rPr>
          <w:b/>
        </w:rPr>
        <w:t>E. 2.3.4</w:t>
      </w:r>
    </w:p>
    <w:p>
      <w:r>
        <w:t>Les risques fondant la détention provisoire étant des motifs alternatifs, la question de l’existence d’un éventuel risque de collusion peut demeurer ouverte, dès lors que la détention provisoire est justifiée par les risques de fuite et de réitération.</w:t>
      </w:r>
    </w:p>
    <w:p>
      <w:r>
        <w:rPr>
          <w:b/>
        </w:rPr>
        <w:t>E. 2.4</w:t>
      </w:r>
    </w:p>
    <w:p>
      <w:r>
        <w:t>Le tribunal compétent ordonne une ou plusieurs mesures moins sévères en lieu et place de la détention provisoire si ces mesures permettent d’atteindre le même but que la détention (art. 237 al. 1 CPP). En l’espèce, aucune mesure de substitution n’est envisageable. Le recourant n'ayant pas motivé ses conclusions relatives à la mise en place de telles mesures, on peut se borner à relever que le dépôt des documents d'identité n'est pas de nature à supprimer tout risque de fuite – et encore moins le risque de réitération – et se référer pour le surplus aux considérants sur la question du dernier arrêt de la cour de céans (CREP 21 février 2014/146 c. 5).</w:t>
      </w:r>
    </w:p>
    <w:p>
      <w:r>
        <w:rPr>
          <w:b/>
        </w:rPr>
        <w:t>E. 2.5</w:t>
      </w:r>
    </w:p>
    <w:p>
      <w:r>
        <w:t>La détention provisoire doit encore être conforme au principe de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Au vu des actes reprochés au recourant, qui sont graves, la durée de la détention provisoire, de sept mois à l’issue de la prolongation ordonnée par l’ordonnance attaquée, ne s’approche pas encore de la durée de la peine privative de liberté à laquelle il faudrait s’attendre concrètement en cas de condamnation.</w:t>
      </w:r>
    </w:p>
    <w:p>
      <w:r>
        <w:rPr>
          <w:b/>
        </w:rPr>
        <w:t>E. 2.6</w:t>
      </w:r>
    </w:p>
    <w:p>
      <w:r>
        <w:t>S'agissant enfin des griefs relatifs au fait que le recourant n'est pas autorisé à voir ses enfants, celui-ci admet lui-même que cette problématique n'a pas de rapport direct avec la question de la prolongation de la détention provisoire (acte de recours, p. 6 in fine). Quoi qu'il en soit, le recourant n'a pas contesté la décision formelle que le ministère public a rendue le 11 avril 2014 et n'a pas soulevé la question dans ses déterminations du 1 er mai 2014, si bien que l'ordonnance attaquée ne la traite pas. Le recours est par conséquent irrecevable sur ce point et il appartiendra au recourant de s'adresser à l'autorité de première instance compétente s'il entend obtenir un réexamen de la situation.</w:t>
      </w:r>
    </w:p>
    <w:p>
      <w:r>
        <w:rPr>
          <w:b/>
        </w:rPr>
        <w:t>E. 3</w:t>
      </w:r>
    </w:p>
    <w:p>
      <w:r>
        <w:t>En définitive, le recours doit être rejeté sans autre échange d’écritures (art. 390 al. 2 CPP) dans la mesure où il est recevable et l'ordonnance du 5 mai 2014 confirmée. L’indemnité due au défenseur d’office du recourant sera fixée à 540 fr., plus la TVA, par 43 fr. 20, ce qui porte le montant alloué à 583 fr. 20. Les frais de la procédure de recours, soit les frais d’arrêt, par 880 fr. (art. 20 al. 1 TFJP [Tarif des frais judiciaires pénaux du 28 septembre 2010, RSV 312.03.1]), ainsi que les frais imputables à la défense d’office (art. 422 al. 1 et al. 2 let. a CPP), par 583 fr. 20, seront mis à la charge du recourant, qui succombe (art. 428 al. 1 CPP). Par ces motifs, la Chambre des recours pénale, statuant à huis clos, prononce : I. Le recours est rejeté dans la mesure où il est recevable. II. L’ordonnance du 5 mai 2014 est confirmée. III. L’indemnité due au défenseur d’office de N.________ est fixée à 583 fr. 20 (cinq cent huitante-trois francs et vingt centimes). IV. Les frais d’arrêt, par 880 fr. (huit cent huitante francs) ainsi que l’indemnité due au défenseur d’office de N.________, par 583 fr. 20 (cinq cent huitante-trois francs et vingt centimes), sont mis à la charge de ce dernier. V. Le remboursement à l’Etat de l’indemnité allouée au chiffre III ci-dessus sera exigible pour autant que la situation économique de N.________ se soit améliorée. VI. Le présent arrêt est exécutoire. Le président :               Le greffier : Du L'arrêt qui précède, dont la rédaction a été approuvée à huis clos, est notifié, par l'envoi d'une copie complète, à : - M. Raphaël Brochellaz, avocat (pour N.________), - Ministère public central ; et communiqué à : - Mme Marie-Pomme Moinat, avocate (pour E.________),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