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420 vom 31. Januar 2014</w:t>
      </w:r>
    </w:p>
    <w:p>
      <w:r>
        <w:t>VD Tribunal cantonal, 2014-01-31, FR</w:t>
      </w:r>
    </w:p>
    <w:p>
      <w:r>
        <w:rPr>
          <w:b/>
        </w:rPr>
        <w:t xml:space="preserve">Quelle: </w:t>
      </w:r>
      <w:r>
        <w:t>https://mcp.opencaselaw.ch/entscheid/vd_findinfo_D_cision___2014___420</w:t>
      </w:r>
    </w:p>
    <w:p>
      <w:r>
        <w:t>FR: VD_FINDINFO Décision / 2014 / 420 du 31 janvier 2014</w:t>
      </w:r>
    </w:p>
    <w:p>
      <w:r>
        <w:t>IT: VD_FINDINFO Décision / 2014 / 420 del 31 gennaio 2014</w:t>
      </w:r>
    </w:p>
    <w:p>
      <w:pPr>
        <w:pStyle w:val="Heading2"/>
      </w:pPr>
      <w:r>
        <w:t>Regeste</w:t>
      </w:r>
    </w:p>
    <w:p>
      <w:r>
        <w:t>INDEMNITÉ ÉQUITABLE, INDEMNITÉ{EN GÉNÉRAL}, AVOCAT, ACQUITTEMENT | 429 al. 1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le jugement motivé du Tribunal de police a été notifié le</w:t>
      </w:r>
    </w:p>
    <w:p>
      <w:r>
        <w:rPr>
          <w:b/>
        </w:rPr>
        <w:t>E. 5</w:t>
      </w:r>
    </w:p>
    <w:p>
      <w:r>
        <w:t>février 2014 au Ministère public, sans communication préalable du dispositif. Interjeté dans les formes et le délai légal contre un jugement d’un tribunal de première instance ayant clos la procédure (art. 398 al. 1 CPP), l’appel est recevable. 2. Conformément à l'art. 406 al. 1 let. d CPP, l'appel est traité en procédure écrite, seule la question de l’indemnité fondée sur l’art. 429 CPP étant litigieuse en l'espèce. Par ailleurs, dans la mesure où seule une contravention a fait l’objet de la procédure de première instance, un membre de la Cour d’appel statue comme juge unique, conformément à l’art. 14 al. 3 LVCPP. 3. 3.1 Le Ministère public fait valoir que la cause ne présentait pas un enjeu suffisant pour justifier le recours à un avocat, ni difficulté particulière en fait ou en droit, qu’il s’agissait juste de trancher entre deux versions des faits au sujet de la responsabilité d’un accident, que le prévenu, qui admettait une faute justifiant une amende de 100 fr., n’encourait qu’une augmentation de celle-ci à 300 fr., que le prévenu n’avait pas changé d’argumentation depuis sa comparution devant le Préfet et enfin que la motivation du jugement attaqué tient sur une seule page. Subsidiairement, il fait valoir que la cause ne nécessitait pas sept heures de travail. L’intimé rappelle qu’il risquait son permis de conduire, « peut-être son emploi », ainsi que des conséquences sur le plan civil. Il explique avoir consulté avocat parce que ses explications n’avaient pas convaincu le Préfet. Il fait valoir que l’indemnité accordée est déjà réduite par rapport au temps consacré par son avocat à l’affaire. 3.2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L’alinéa 2 de cette disposition précise en outre que l’autorité pénale examine d’office les prétentions du prévenu et peut enjoindre à celui-ci de les chiffrer et de les justifier.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 2.3.5). S’agissant d’une contravention à la LCR,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 er novembre 2012; voir dans le même sens CAPE 16 mai 2012/132, CAPE 19 avril 2013/101). L’indemnisation suppose que tant le recours à un avocat que l’activité déployée par celui-ci sont justifiés. Dans les cas juridiquement simples, l’activité de l’avocat doit se limiter au minimum, soit tout au plus à une simple consultation (ATF 138 IV 197 c. 2.3.5). 3.3 En l’espèce, seule l’appréciation des faits était litigieuse. Seul puis assisté d’un avocat, le prévenu a présenté la même argumentation. Les motifs qui ont abouti à la libération de l’accusation d’inattention étaient simples et de pur fait, de sorte que même une personne non juriste pouvait les maîtriser sans une assistance juridique. L’affaire ne présentait aucune difficulté en droit. Toutefois, le prévenu est chauffeur-livreur et a donc un besoin professionnel de son permis de conduire. Il a indiqué que le Service des automobiles et de la navigation envisageait de lui retirer son permis de conduire. Il ressort du dossier qu’il fait effectivement l’objet d’une procédure administrative, suspendue dans l’attente de la clôture de la procédure pénale. Dans ces conditions, l’assistance d’un avocat se justifiait sur le principe. Cependant, vu la simplicité de la cause en fait et en droit, l’activité de l’avocat devait être limitée à l’essentiel, soit à une brève consultation et à l’assistance à l’audience, qui a duré quarante minutes. L’indemnité doit par conséquent être réduite à 600 fr., montant qui correspond à un peu moins de deux heures de travail au tarif horaire usuel de 350 francs. En définitive, l’appel doit être admis dans ses conclusions subsidiaires et le chiffre III du jugement entrepris modifié en ce sens qu’une indemnité de 600 fr. est allouée au prévenu. 4. Vu l’issue de la cause, les frais de la procédure d’appel, constitués uniquement de l’émolument de jugement, par 540 fr. (art. 21 al. 1 TFJP [Tarif des frais judiciaires pénaux du 28 septembre 2010, RSV 312.03.1]), doivent être mis par deux tiers à la charge du prévenu intimé, qui succombe pour l’essentiel des montants en jeu, le solde étant laissé à la charge de l’Etat (art. 428 al. 1 CPP). Au vu de ce qui précède, il n’y a pas matière à allocation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