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417 vom 26. Mai 2014</w:t>
      </w:r>
    </w:p>
    <w:p>
      <w:r>
        <w:t>VD Tribunal cantonal, 2014-05-26, FR</w:t>
      </w:r>
    </w:p>
    <w:p>
      <w:r>
        <w:rPr>
          <w:b/>
        </w:rPr>
        <w:t xml:space="preserve">Quelle: </w:t>
      </w:r>
      <w:r>
        <w:t>https://mcp.opencaselaw.ch/entscheid/vd_findinfo_D_cision___2014___417</w:t>
      </w:r>
    </w:p>
    <w:p>
      <w:r>
        <w:t>FR: VD_FINDINFO Décision / 2014 / 417 du 26 mai 2014</w:t>
      </w:r>
    </w:p>
    <w:p>
      <w:r>
        <w:t>IT: VD_FINDINFO Décision / 2014 / 417 del 26 maggio 2014</w:t>
      </w:r>
    </w:p>
    <w:p>
      <w:pPr>
        <w:pStyle w:val="Heading2"/>
      </w:pPr>
      <w:r>
        <w:t>Regeste</w:t>
      </w:r>
    </w:p>
    <w:p>
      <w:r>
        <w:t>ADMINISTRATION DES PREUVES, PREUVE ILLICITE, PESÉE DES INTÉRÊTS | 141 CPP (CH), 393 al. 1 let. a CPP (CH)</w:t>
      </w:r>
    </w:p>
    <w:p>
      <w:pPr>
        <w:pStyle w:val="Heading2"/>
      </w:pPr>
      <w:r>
        <w:t>Erwägungen</w:t>
      </w:r>
    </w:p>
    <w:p>
      <w:r>
        <w:rPr>
          <w:b/>
        </w:rPr>
        <w:t>E. 1</w:t>
      </w:r>
    </w:p>
    <w:p>
      <w:r>
        <w:t>a) Aux termes de l’art. 393 al. 1 let. a CPP (Code de procédure pénale suisse du 5 octobre 2007; RS 312.0), le recours est recevable contre les décisions et actes de procédure du Ministère public. Un recours immédiat est ainsi ouvert contre les décisions rendues en matière d'admissibilité de preuves illégales (cf. Bénédict/Treccani, in : Kuhn/Jeanneret (éd.), Commentaire romand, Code de procédure pénale suisse, Bâle 2011, n. 52-55 ad art. 141 CPP). Ce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b) En l’occurrence, interjeté en temps utile devant l’autorité compétente par une partie qui a qualité pour recourir au sens de l'art. 382 al. 1 CPP et satisfaisant aux conditions de formes prescrites (art. 385 al. 1 CPP), le recours est recevable.</w:t>
      </w:r>
    </w:p>
    <w:p>
      <w:r>
        <w:rPr>
          <w:b/>
        </w:rPr>
        <w:t>E. 2</w:t>
      </w:r>
    </w:p>
    <w:p>
      <w:r>
        <w:t>La recourante soutient que l’enregistrement audio produit par son époux aurait été recueilli sans son consentement, soit en violation de l’art. 179 ter CP, de sorte que cette pièce et ses traductions devraient être retirées du dossier en application de l’art. 141 al. 5 CPP. a) A l’exception de l’art. 140 CPP – hypothèse non réalisée dans le cas d’espèce –, le code de procédure pénale ne règle pas la question des preuves illégales recueillies non par l’autorité, mais par des particuliers. Il s’agit d’une volonté du législateur (Moreillon/Parein-Reymond, Petit commentaire, Code de procédure pénale, Bâle 2013, n. 8 ad rem. préliminaires art. 139 ss CPP; Bénédict/Treccani, in : Kuhn/Jeanneret (éd.), op. cit., n. 7 ad intro. art. 139-141 CPP). Ainsi, le sort des preuves illégales rapportées par des particuliers doit être tranché par les tribunaux au cas par cas, sauf dans les hypothèses où le code fixe des règles d’exclusion indépendantes de la qualité de celui qui a obtenu la preuve litigieuse (cf. notamment art. 140 CPP; Bénédict/Treccani, op. cit., n. 9 ad art. 139-141 CPP). De manière générale, la jurisprudence admet que l’interdiction d’exploiter une preuve subsiste à chaque fois que la mesure d’instruction litigieuse viole un bien juridique qui mérite de l’emporter sur l’intérêt à la mise en oeuvre du droit pénal (ATF 137 I 218 c. 2.3.4, JT 2011 I 354; ATF 131 I 272 c. 4.1.2; CREP 31 juillet 2012/450). S’agissant plus particulièrement des preuves rapportées par le prévenu, la doctrine considère qu’elles sont toujours admissibles, d’une part, si elles sont de nature à établir le fait invoqué et, d’autre part, si le droit du prévenu à prouver son innocence n’entre pas en conflit avec les intérêts d’un co-prévenu. En effet, le droit de ce dernier à ne pas être condamné sur la foi d’une preuve illégale mérite d’être pris en considération, de sorte que dans ce cas, il conviendra de peser les intérêts en présence (Bénédict/Treccani, in : Kuhn/Jeanneret (éd.), op. cit., n. 19 ad. intro. art. 139-141 CPP; Moreillon/Parein-Reymond, op. cit., n. 8 ad rem. préliminaires art. 139 ss CPP). b) En l’espèce, aucun élément au dossier ne permet de retenir que la recourante aurait été enregistrée avec son accord. L’enregistrement produit par son mari doit ainsi être considéré comme illicite, nonobstant le fait qu’aucune plainte n’a été déposée pour infraction à l’art. 179 ter CP (enregistrement non autorisé de conversations). Reste dès lors à examiner, au regard des considérations qui précèdent, si les deux conditions pour l’admissibilité d’une preuve rapportée illicitement par un prévenu – ce qui est le cas en l’espèce – sont remplies. En l’occurrence, la teneur de la prise de son originale n’est pas contestée, de sorte que l’enregistrement litigieux est de nature à établir les faits dénoncés. La première condition est ainsi réalisée. S’agissant de la deuxième condition, il est relevé que C.B.________ est également prévenue ensuite de la plainte pénale déposée à son encontre par son mari. Il faut donc procéder à une pesée des intérêts entre le droit de l’époux prévenu de prouver son innocence et celui de son épouse de ne pas être incriminée par une preuve obtenue illicitement. Il ressort de la traduction réalisée sur mandat du Ministère public – qui doit seule être prise en considération dans le cas d’espèce – que la plainte de la recourante a été rédigée à l’instigation de son père et que les faits dénoncés ont été quelque peu exagérés, l’intéressée ayant indiqué qu’ils étaient « un peu vrais » (cf. P. 26, p. 3). Par ailleurs, certaines des infractions dont B.B.________ est accusé sont graves, puisqu’il est mis en cause pour mise en danger de la vie d’autrui et tentative de meurtre; les accusations portées contre la recourante, soit la dénonciation calomnieuse et la calomnie, le sont objectivement moins. Enfin, l’une de ces préventions est un délit contre l’administration de la justice, de sorte qu’on ne saurait refuser à B.B.________ le droit de prouver son innocence pour protéger un autre prévenu incriminé précisément d’un tel délit. Par conséquent, au vu des incriminations en jeu, l’intérêt à la mise en œuvre du droit pénal, soit la manifestation de la vérité, doit l’emporter dans le cas d’espèce sur la violation du bien juridique concerné, à savoir la violation de la sphère privée par un enregistrement illicite. c) Les deux conditions pour l’admissibilité d’une preuve rapportée illicitement par un prévenu étant réalisées, c’est à juste titre que la Procureure a refusé de retrancher les pièces litigieuses du dossier.</w:t>
      </w:r>
    </w:p>
    <w:p>
      <w:r>
        <w:rPr>
          <w:b/>
        </w:rPr>
        <w:t>E. 3</w:t>
      </w:r>
    </w:p>
    <w:p>
      <w:r>
        <w:t>Il résulte de ce qui précède que le recours doit être rejeté, sans autres échanges d’écritures (art. 390 al. 2 CPP).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770 fr. (art. 20 al. 1 TFJP [tarif des frais judiciaires pénaux; RSV 312.03.1]) et des frais imputables à l’assistance judiciaire gratuite (art. 422 al. 1 et 2 let. a CPP), fixés à 450 fr., plus la TVA par 36 fr., soit au total 486 fr. – ne peuvent être mis à la charge de la recourante qui succombe (art. 428 al. 1 CPP), mais doivent être provisoirement laissés à la charge de l’Etat (Mazzuchelli/Postizzi, in : Niggli/Heer/ Wiprächtiger [éd.], Basler Kommentar, Schweizerische Strafprozessordnung, Jugendstrafprozessordnung, Bâle 2011, n. 4 ad art. 138 CPP; Harari/Corminboeuf, in : Kuhn/Jeanneret [éd.], op. cit., n. 51 ad art. 136 CPP). La recourante est toutefois tenue de rembourser ces frais à l’Etat dès que sa situation financière le permettra (art. 135 al. 4 CPP et 138 al. 1 CPP; Mazzuchelli/Postizzi, op. cit., n. 4 ad art. 138 CPP; Harari/Corminboeuf, op. cit., n. 11 ad art. 138 CPP). Par ces motifs, la Chambre des recours pénale, statuant à huis clos, prononce : I. Le recours est rejeté. II. L'ordonnance du 21 janvier 2014 est confirmée. III. L'indemnité allouée au conseil juridique gratuit de C.B.________ est fixée à 486 fr. (quatre cent huitante-six francs). IV. Les frais d’arrêt, par 770 fr. (sept cent septante francs), ainsi que l'indemnité allouée au conseil juridique gratuit de C.B.________, par 486 fr. (quatre cent huitante-six francs), sont provisoirement laissés à la charge de l’Etat. V. C.B.________ est tenue de rembourser à l’Etat l’indemnité allouée au chiffre III ci-dessus ainsi que les frais fixés au chiffre IV ci-dessus dès que sa situation financière le permettra. VI. Le présent arrêt est exécutoire. Le président :               La greffière : Du L'arrêt qui précède, dont la rédaction a été approuvée à huis clos, est notifié, par l'envoi d'une copie complète, à : - Me Philippe Baudraz, avocat (pour C.B.________), - Me Georges Reymond, avocat (pour B.B.________),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