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410 vom 1. Mai 2014</w:t>
      </w:r>
    </w:p>
    <w:p>
      <w:r>
        <w:t>VD Tribunal cantonal, 2014-05-01, FR</w:t>
      </w:r>
    </w:p>
    <w:p>
      <w:r>
        <w:rPr>
          <w:b/>
        </w:rPr>
        <w:t xml:space="preserve">Quelle: </w:t>
      </w:r>
      <w:r>
        <w:t>https://mcp.opencaselaw.ch/entscheid/vd_findinfo_D_cision___2014___410</w:t>
      </w:r>
    </w:p>
    <w:p>
      <w:r>
        <w:t>FR: VD_FINDINFO Décision / 2014 / 410 du 1 mai 2014</w:t>
      </w:r>
    </w:p>
    <w:p>
      <w:r>
        <w:t>IT: VD_FINDINFO Décision / 2014 / 410 del 1 maggio 2014</w:t>
      </w:r>
    </w:p>
    <w:p>
      <w:pPr>
        <w:pStyle w:val="Heading2"/>
      </w:pPr>
      <w:r>
        <w:t>Regeste</w:t>
      </w:r>
    </w:p>
    <w:p>
      <w:r>
        <w:t>ORDONNANCE DE CONDAMNATION, OPPOSITION{PROCÉDURE}, RETRAIT{VOIE DE DROIT} | 355 al. 2 CPP (CH), 393 al. 1 let. a CPP (CH)</w:t>
      </w:r>
    </w:p>
    <w:p>
      <w:pPr>
        <w:pStyle w:val="Heading2"/>
      </w:pPr>
      <w:r>
        <w:t>Erwägungen</w:t>
      </w:r>
    </w:p>
    <w:p>
      <w:r>
        <w:rPr>
          <w:b/>
        </w:rPr>
        <w:t>E. 1</w:t>
      </w:r>
    </w:p>
    <w:p>
      <w:r>
        <w:t>a) Les décisions ou les actes de procédure du Ministère public peuvent être attaqués par la voie du recours auprès de la Chambre des recours pénale du Tribunal cantonal (art. 393 al. 1 let. a CPP [Code de procédure pénale suisse du 5 octobre 2007; RS 312.0]). La décision par laquelle le Ministère public prend acte du retrait de l’opposition et déclare l’ordonnance pénale exécutoire est ainsi susceptible de recours selon les art. 393 ss CPP (Riklin, in : Niggli/Heer/Wiprächtiger (éd.), Basler Kommentar, Schweizerische Strafprozessordnung, Praxiskommentar, 2009, n. 5 ad art. 355 CPP; Schwarzenegger, in : Donatsch/Hansjakob/Lieber (éd.), Kommentar zur Schweizerischen Strafprozessordnung, 2010, n.</w:t>
      </w:r>
    </w:p>
    <w:p>
      <w:r>
        <w:rPr>
          <w:b/>
        </w:rPr>
        <w:t>E. 2</w:t>
      </w:r>
    </w:p>
    <w:p>
      <w:r>
        <w:t>Le recourant soutient qu'il ne s'est pas présenté à l'audience du 17 avril 2014 car il n'avait pas reçu d'autorisation de sortie de la part de l'établissement pénitentiaire de Witzwil, ce dont il a informé le procureur en sollicitant la fixation d'une nouvelle date de comparution mais en vain. a) En vertu de l'art. 354 al. 1 let. a CPP, le prévenu peut former opposition contre l'ordonnance pénale devant le Ministère public, par écrit et dans les 10 jours. L’art. 355 al. 2 CPP règle de manière spécifique le défaut de celui qui a formé opposition dans ce cas: si l’opposant, sans excuse, ne se présente pas à une audition malgré une citation, son opposition est réputée retirée. Ainsi, contrairement à ce que prévoit l'art. 205 CPP, le défaut peut, en vertu de l'art. 355 al. 2 CPP, aboutir à une perte de toute protection juridique, nonobstant le fait que l'opposant ait précisément voulu une telle protection en formant opposition. Dans ce contexte et malgré une opposition valable, l’ordonnance pénale acquiert autorité de la chose jugée (Gilliéron/Killias, in: Kuhn/Jeanneret (éd.), Commentaire romand, Code de procédure pénale suisse, Bâle 2011, n. 2 ad art. 355 CPP). Ainsi, et pour autant que les conséquences du défaut aient été dûment portées à la connaissance de l’opposant lors de la citation à comparaître (art. 201 al. 2 let. f CPP), dont l'opposant doit avoir eu une connaissance effective, et que la décision prenant acte du retrait de l’opposition comporte l’indication de la voie de droit et du délai de recours (art. 81 al. 1 let. d CPP), le défaut de l’opposant à l’audience a un effet péremptoire sur ses droits (cf. TF 6B_152/2013 du 27 mai 2013, c. 4.4 et 4.5; TF 6B_908/203 du 20 mars 2014, c. 2.5). b) En l'occurrence, le recourant ne s'est pas présenté à l'audience du 17 avril 2014 à laquelle il avait pourtant été valablement cité à comparaître par mandat du 19 mars 2014, lequel comportait une indication claire des conséquences d'un éventuel défaut. Certes, le 25 mars 2014, B.________ a sollicité le report de cette audience, en informant le procureur qu'il n'avait pas reçu l'autorisation de se rendre à cette convocation de la part de la direction de son établissement pénitentiaire. Le procureur lui a toutefois répondu le 2 avril 2014 que son transfert dans le canton de Vaud en vue de l'audience avait été organisé par la police cantonale vaudoise, en lien avec l'établissement pénitentiaire, raison pour laquelle le procureur n'a pas donné suite à la demande de report d'audience formulée par le recourant. En réalité, B.________ a refusé de monter dans le véhicule prévu pour son transfert (PV op., p. 4). Le rapport produit à l'appui du recours ne permet au demeurant pas de conclure que ce transfert était contre-indiqué médicalement. Dans ces circonstances, c'est à juste titre que le procureur a pris acte du retrait de l'opposition et constaté que l'ordonnance pénale du 17 février 2014 était exécutoire.</w:t>
      </w:r>
    </w:p>
    <w:p>
      <w:r>
        <w:rPr>
          <w:b/>
        </w:rPr>
        <w:t>E. 3</w:t>
      </w:r>
    </w:p>
    <w:p>
      <w:r>
        <w:t>En définitive, le recours, manifestement mal fondé, doit être rejeté sans autres échanges d'écritures (art. 390 al. 2 CPP) et l’ordonnance du 17 avril 2014 confirmée. Les frais de la procédure de recours, constitués en l’espèce du seul émolument d'arrêt, par 550 fr. (art. 20 al. 1 TFJP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17 avril 2014 est confirmée. III. Les frais de la procédure de recours, par 550 fr. (cinq cent cinquante francs), sont mis à la charge du recourant. IV. Le présent arrêt est exécutoire. Le président :               La greffière : Du L'arrêt qui précède, dont la rédaction a été approuvée à huis clos, est notifié, par l'envoi d'une copie complète, à : - M. B.________, - D.________ SA,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