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405 vom 24. März 2014</w:t>
      </w:r>
    </w:p>
    <w:p>
      <w:r>
        <w:t>VD Tribunal cantonal, 2014-03-24, FR</w:t>
      </w:r>
    </w:p>
    <w:p>
      <w:r>
        <w:rPr>
          <w:b/>
        </w:rPr>
        <w:t xml:space="preserve">Quelle: </w:t>
      </w:r>
      <w:r>
        <w:t>https://mcp.opencaselaw.ch/entscheid/vd_findinfo_D_cision___2014___405</w:t>
      </w:r>
    </w:p>
    <w:p>
      <w:r>
        <w:t>FR: VD_FINDINFO Décision / 2014 / 405 du 24 mars 2014</w:t>
      </w:r>
    </w:p>
    <w:p>
      <w:r>
        <w:t>IT: VD_FINDINFO Décision / 2014 / 405 del 24 marzo 2014</w:t>
      </w:r>
    </w:p>
    <w:p>
      <w:pPr>
        <w:pStyle w:val="Heading2"/>
      </w:pPr>
      <w:r>
        <w:t>Regeste</w:t>
      </w:r>
    </w:p>
    <w:p>
      <w:r>
        <w:t>CLASSEMENT DE LA PROCÉDURE, HOMICIDE PAR NÉGLIGENCE, OMISSION DE PRÊTER SECOURS, IN DUBIO PRO DURIORE, PRINCIPE DE LA CÉLÉRITÉ | 128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Interjetés dans le délai légal auprès de l’autorité compétente par A.V.________ et B.V.________ qui ont qualité pour recourir (cf. art. 382 al. 1 CPP), les recours sont recevables.</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Les recourantes A.V.________ et B.V.________ font grief au Ministère public d'avoir écarté à tort l'expertise privée réalisée par le Prof. T.________. a) Les experts mandatés par les autorités pénales sont appelés experts judiciaires par opposition aux experts privés qui ont eux été mandatés par l’une des parties à la procédure. Le législateur n’a pas envisagé l’expertise privée aux art. 182 ss CPP. Selon le Tribunal fédéral, une expertise privée ne constitue pas un moyen de preuve, mais doit plutôt être considérée comme une allégation de partie (ATF 132 III 83 c. 3.4; TF 6B_49/2011 du 4 avril 2011 c. 1. 4). Bien que l’expertise privée ne puisse être considérée comme un moyen de preuve au sens strict, elle doit toutefois être soumise à l’appréciation du juge qui peut s’en inspirer pour la résolution du cas d’espèce (Moreillon/Parein-Reymond, Petit commentaire du Code de procédure pénale, Bâle 2013, n. 5 ad chapitre 5, p. 507). b) En l’espèce, dans son rapport du 10 novembre 2009 et son complément du 20 mai 2010 (P. 55 et P. 70/2), le Prof. M.________ a conclu à un diagnostic rétrospectivement erroné excusable du Dr E.________. Selon l’expert, les mesures thérapeutiques prises par le médecin étaient adéquates. Il ressort toutefois de l'expertise privée confiée au Prof. T.________ par B.V.________ que le Dr E.________ aurait négligé l'anamnèse du patient en faisant abstraction de la présence de stents abdominaux et de la prise d'aspirine, éléments qui n'auraient pas été pris en compte par le Prof. M.________ dans son expertise. Le Dr E.________ aurait ainsi sous-estimé la gravité de l’état du patient et écarté des diagnostics possibles. Des anti-inflammatoires avaient en outre été administrés à A.S.________ dès son arrivée au service des urgences, en sus des aspirines déjà prescrites, ce qui pouvait attester que ce dernier avait succombé à un ulcère gastrique. Contrairement à l’avis du Prof. M.________, l’expert privé est parvenu à la conclusion que le diagnostic erroné posé par le Dr E.________ n’était pas excusable. Dans son ordonnance de classement, le Procureur a notamment considéré que l'expertise privée réalisée par le Prof. T.________ ne pouvait être retenue au motif qu'admettre cette expertise reviendrait à remettre en cause celle effectuée par le Prof. M.________, dont le Tribunal d'accusation avait jugé qu'elle n'avait pas à l'être. Or, le Procureur ne pouvait être aussi expéditif. En effet, dans son arrêt du 25 janvier 2011, le Tribunal d'accusation s'est prononcé sur la nécessité ou non d'ordonner une nouvelle expertise judiciaire. Il n’avait pas connaissance à ce moment-là de l'expertise privée qui a été réalisée ultérieurement. On se trouve toutefois en présence d’un avis médical émanant d’une sommité dans le domaine et qui diverge de l’expertise judiciaire. Dans ces circonstances, le Procureur ne pouvait écarter l'expertise privée du Prof. T.________ sans autres mesures d'instruction visant à élucider les raisons des divergences entre l'expert judiciaire et l'expert privé, d'autant plus qu'elle faisait état d'éléments nouveaux qui n’auraient pas été pris en compte par le Prof. M.________. Il subsiste en l'état du dossier un doute sur le fait de savoir si la prise en charge de A.S.________ par le Dr E.________ a été adéquate. Ainsi, le Procureur devra soumettre à l'expert judiciaire les résultats de l'expertise privée et lui demander de se déterminer. Une fois les déterminations du Prof. M.________ en mains du Procureur, celui-ci devra examiner dans quelle mesure, au vu de la complexité de la cause en fait et en droit, il se justifie de prononcer la mise en accusation du Dr  E.________ pour homicide par négligence. Pour ce motif déjà, les recours de A.V.________ et B.V.________ doivent être admis et l'ordonnance de classement annulée.</w:t>
      </w:r>
    </w:p>
    <w:p>
      <w:r>
        <w:rPr>
          <w:b/>
        </w:rPr>
        <w:t>E. 4</w:t>
      </w:r>
    </w:p>
    <w:p>
      <w:r>
        <w:t>Les recourantes reprochent au Ministère public de ne pas avoir instruit davantage le fait que A.S.________ avait vomi durant son passage au service des urgences de l’Hôpital [...]. En l’espèce, tant le Dr E.________ que l’infirmière I.________ ont déclaré ne pas se souvenir que A.S.________ aurait vomi lors de sa consultation. Cependant, il ressort des déclarations de B.V.________ que A.S.________ aurait vomi à plusieurs reprises dans les toilettes de l’hôpital et qu’elle en avait informé l’infirmière (PV aud. 1 et 2). B.V.________ a également expliqué en avoir parlé à sa mère (PV aud. 5 ; P. 28/4). Le Dr E.________ a admis que s’il avait appris que son patient avait vomi, il l’aurait réexaminé et l’aurait sans doute gardé pour la nuit, voire aurait fait appel au chef de clinique (PV aud. 3, p. 3). Dès lors, au vu de l’importance de cet élément de fait, le Procureur ne pouvait se fier aux seules déclarations des prévenus pour considérer que cet élément n’avait pas à être pris en compte et il lui appartenait d’investiguer plus avant cette question. Il se justifie dans cette mesure de procéder à l’audition de la mère de B.V.________, C.V.________. Les mesures d’instruction complémentaires permettront ainsi d’établir une éventuelle responsabilité du Dr E.________ et de l’infirmière I.________. Ce grief est dès lors bien fondé et les recours de A.V.________ et B.V.________ doivent également être admis sur ce point.</w:t>
      </w:r>
    </w:p>
    <w:p>
      <w:r>
        <w:rPr>
          <w:b/>
        </w:rPr>
        <w:t>E. 5</w:t>
      </w:r>
    </w:p>
    <w:p>
      <w:r>
        <w:t>Les recourantes font grief au Ministère public de ne pas avoir reconnu la responsabilité des Etablissements hospitaliers O.________. Comme le relèvent à juste titre les recourantes, si le classement devait être confirmé à l’égard du Dr E.________ et d’I.________, se poserait alors la question de la responsabilité pénale subsidiaire des Etablissements hospitaliers O.________ au sens de l’art. 102 CP, question que le Procureur n’a pas traitée. En l’occurrence, dans son rapport complémentaire du 25 mai 2010 (P. 70/2), le Prof. M.________ a relevé un lien entre le diagnostic erroné du Dr E.________ et le fonctionnement hiérarchique des urgences de l’hôpital. Il a en effet expliqué que dans le système de supervision appliqué dans les Etablissements hospitaliers O.________, une supervision complète des assistants aux urgences n’était pas assurée, l’appel au supérieur dépendant de l’appréciation de l’assistant qui était de garde. L’expert a relevé que dans un tel système, les erreurs excusables de diagnostic étaient inévitables. Le Prof. T.________ semble également aller dans le même sens. Dans son rapport du 6 avril 2011, l’expert a précisé que « sur le plan général du fonctionnement de l’équipe des urgences de cet hôpital, si le Dr E.________ n’a pas été spontanément informé de l’administration des calmants, alors il existe une faute ou une omission des règles de transmission d’information au sein de l’équipe soignante » (P. 102/2, p. 6). A cet égard, on peut se demander si le fait que l’information concernant les vomissements de A.S.________ durant la consultation n’ait pas été transmise de l’infirmière au Dr E.________, que le téléphone de B.V.________ le lendemain de la prise en charge de A.S.________, qui faisait état des vomissements persistants, n’ait pas été communiqué au Dr E.________, de garde quelques heures plus tard (P. 131/2), ou encore que le fax de B.V.________ concernant une prescription d’anti-vomitif n’ait pas interpellé le Dr E.________ (P. 21), ne révèlent pas justement un système défaillant. Dans ces conditions et si le classement à l’égard des deux collaborateurs des Etablissements hospitaliers O.________ devait se confirmer, il s’imposerait d’instruire dans quelle mesure l’organisation et le fonctionnement du service des urgences de cet hôpital sont adéquats. Néanmoins, avant d’examiner la nécessité d’ordonner une expertise organisationnelle de ce service, il apparaît opportun d’interpeller l’expert judiciaire sur cette question. Fondé, ce grief doit également être admis.</w:t>
      </w:r>
    </w:p>
    <w:p>
      <w:r>
        <w:rPr>
          <w:b/>
        </w:rPr>
        <w:t>E. 6</w:t>
      </w:r>
    </w:p>
    <w:p>
      <w:r>
        <w:t>La recourante B.V.________ conteste s’être rendue coupable de l’infraction d’omission de prêter secours, le refus de toute indemnité et la mise à sa charge d’une partie des frais. a) L'art. 128 CP dispose notamment que celui qui n’aura pas prêté secours à une personne qu’il a blessée ou à une personne en danger de mort imminent, alors que l’on pouvait raisonnablement l’exiger de lui, étant donné les circonstances, sera puni d’une peine privative de liberté de trois ans au plus ou d’une peine pécuniaire. L'art. 128 CP fait peser sur les individus une obligation générale de porter secours si bien que toute personne en mesure d'apprécier le danger dans lequel se trouve la victime est tenue d'agir. S'agissant de l'étendue des secours à apporter, il faut préciser que l'on ne saurait attendre davantage que les actes de secours que l'on peut raisonnablement exiger de tout un chacun au regard des circonstances et des capacités de la personne concernée (Dupuis et alii, Petit Commentaire du Code pénal, Bâle 2012, nn. 11 s. ad art. 128 CP; Corboz, Les infractions en droit suisse, Vol. I, Berne 2010, nn. 23 et 33 ad art. 128 CP). L’infraction est intentionnelle. L'auteur doit être conscient de la situation de danger de mort imminente dans laquelle se trouve la victime, et plus largement des conditions qui fondent l'obligation de porter secours (ATF 121 IV 18 c. 2a). Le dol éventuel suffit (Corboz, op. cit., nn. 48 ss ad art. 128 CP). b)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(TF 6B_87/2012 du 27 avril 2012 c. 1.2 ; TF 6B_99/2011 du 13 septembre 2011 c. 5.1.2). c)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430 al. 1 CPP dispose que l’autorité pénale peut réduire ou refuser cette indemnité notamment si le prévenu a provoqué illicitement et fautivement l’ouverture de la procédure ou a rendu plus difficile la conduite de celle-ci. d) En l’espèce, la motivation de l’ordonnance attaquée est trop succincte, puisqu’elle ne permet pas de savoir sur quels éléments s’est appuyé le Procureur pour retenir que les éléments constitutifs de l’infraction d’omission de prêter secours (art. 128 CP) étaient réalisés. Quand bien même le magistrat a renoncé à toute peine, il lui appartenait de motiver soigneusement la constatation de la culpabilité de B.V.________, les conséquences sur le plan civil mais aussi sur l’indemnisation de la prévenue étant importantes. L’appréciation de la culpabilité faite par le Procureur paraît de surcroît douteuse dans la mesure où les éléments au dossier laissent à penser que B.V.________ n’avait pas conscience du danger de mort imminent dans lequel A.S.________ se trouvait au moment où elle a quitté leur domicile le matin du 23 août 2008. Toutefois, au vu de l’annulation de l’ordonnance de classement pour les motifs décrits ci-dessus, la question de la culpabilité de la prévenue B.V.________ n’a pas à être tranchée à ce stade. Une fois les mesures d’instruction complémentaires effectuées, il appartiendra au Procureur de rendre une nouvelle ordonnance de classement motivée ou, le cas échéant, une ordonnance de mise en accusation s’il devait persister à soutenir la culpabilité de la recourante. Pour ce motif également, l’annulation de l’ordonnance de classement et le renvoi de la cause au Procureur se justifient.</w:t>
      </w:r>
    </w:p>
    <w:p>
      <w:r>
        <w:rPr>
          <w:b/>
        </w:rPr>
        <w:t>E. 7</w:t>
      </w:r>
    </w:p>
    <w:p>
      <w:r>
        <w:t>Quant à la question, soulevée en dernier lieu par B.V.________, de savoir si le Procureur a satisfait à son obligation de conduire la procédure sans retard injustifié, on constatera que, depuis le décès de A.S.________, l'instruction de la cause n’a pas connu de périodes d'inactivité susceptibles de contrevenir au principe de célérité (ATF 135 I 265 c. 4.4; ATF 130 I 312 c. 5.1; ATF 124 I 139 c. 2c). Au vu de la complexité de la cause dirigée contre plusieurs prévenus, cette dernière a été traitée dans un délai raisonnable. Rien ne justifie dans ces circonstances que la Cour de céans donne des instructions au Procureur général afin qu’il dessaisisse le Procureur du Ministère public de l’arrondissement de Lausanne (art. 23 al. 4 LMPu [Loi sur le Ministère public du 19 mai 2009; RSV 173.21]). Le Procureur est néanmoins rendu attentif au fait que l’instruction complémentaire de la cause devra être conduite dans les meilleurs délais en raison de la prescription qui interviendra prochainement. Mal fondé, ce dernier moyen doit être rejeté. III. Recours contre le prononcé du 7 janvier 2014 L’ordonnance de classement étant annulée et la cause renvoyée au Ministère public pour un complément d’instruction, il y a lieu d’annuler le prononcé entrepris dans la mesure où il apparaît prématuré. IV. Conclusions a) Les recours formés par A.V.________ et B.V.________ doivent être admis, l’ordonnance de classement du 11 décembre 2013 annulée et le dossier de la cause renvoyé au Ministère public de l'arrondissement de Lausanne pour qu'il procède dans le sens des considérants. Le recours de l’avocat H.________ doit être admis et le prononcé du 7 janvier 2014 annulé en tant qu’il est prématuré. b) Une indemnité de 720 fr., plus la TVA, par 57 fr. 60, soit 777 fr. 60, sera allouée à Me Alexandre Guyaz en sa qualité de conseil juridique gratuit de A.V.________. Me H.________ a procédé en tant que défenseur d’office et conseil de choix de B.V.________, laquelle est à la fois prévenue et partie plaignante. Pour l’ensemble des opérations déployées pour la procédure de recours, il convient d’admettre que l’avocat H.________ a consacré un tiers de son activité en qualité de défenseur d’office et deux tiers en qualité de conseil de choix. En tant que défenseur d’office de B.V.________, une indemnité de 540 fr., plus la TVA, par 43 fr. 20, soit 583 fr. 20, lui sera allouée. S’agissant des dépens réclamés par B.V.________,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Les frais de la procédure de recours, constitués en l’espèce de l’émolument d'arrêt, par 1'870 fr. (art. 20 al. 1 TFJP [Tarif des frais judiciaires pénaux du 28 septembre 2010; RSV 312.03.1]), de l’indemnité allouée au conseil juridique gratuit de A.V.________, par 777 fr. 60, et de l’indemnité allouée au défenseur d’office de B.V.________, par 583 fr. 20, seront mis à la charge des intimés, qui ont conclu au rejet du recours et qui succombent (art. 428 al. 1 CPP), par un tiers, soit 1'076 fr. 95, à la charge d’E.________, par un tiers, soit 1'076 fr. 95, à la charge d’I.________ et par un tiers, soit 1'076 fr. 95, à la charge des Etablissements hospitaliers O.________. Le défenseur d'office qui recourt en son nom a droit à des honoraires (Ruckstuhl, in: Niggli/Heer/Wiprächtiger [éd.], Kommentar, Schweizerische Strafprozessordnung, Jugendstrafprozessordnung, Bâle 2011, nn. 16 et 18 ad art. 135 CPP; Pra 2008, n. 46; CREP du 9 novembre 2011/477). L'indemnité qu'il convient d'allouer à ce titre à Me H.________ doit être fixée à 360 fr., plus la TVA par 28 fr. 80, soit un total de 388 fr. 80. Par ces motifs, la Chambre des recours pénale, statuant à huis clos, prononce : I. Les recours de A.V.________ et B.V.________ sont admis. II. Le recours de Me H.________ est admis. III. L’ordonnance du 11 décembre 2013 est annulée et le dossier de la cause est renvoyé au Procureur de l’arrondissement de Lausanne pour qu’il procède dans le sens des considérants. IV . Le prononcé du 7 janvier 2014 est annulé. V. L'indemnité allouée au conseil juridique gratuit de A.V.________ est fixée à 777 fr. 60 (sept cent septante-sept francs et soixante centimes). VI. L'indemnité allouée à Me H.________ en sa qualité de défenseur d’office de B.V.________ est fixée à 583 fr. 20 (cinq cent huitante-trois francs et vingt centimes). VII. L’indemnité allouée à Me H.________ pour la procédure de recours est fixée à 388 fr. 80 (trois cent huitante-huit francs et huitante centimes), TVA et débours compris. VIII. Les frais d’arrêt, par 1'870 fr. (mille huit cent septante francs), ainsi que l’indemnité allouée au conseil juridique gratuit de A.V.________, par 777 fr. 60 (sept cent septante-sept francs et soixante centimes), et l’indemnité allouée au défenseur d’office de B.V.________, par 583 fr. 20 (cinq cent huitante-trois francs et vingt centimes), sont mis par un tiers, soit 1'076 fr. 95, à la charge d’E.________, par un tiers, soit 1'076 fr. 95, à la charge d’I.________ et par un tiers, soit 1'076 fr. 95, à la charge des Etablissements hospitaliers O.________. IX. Le présent arrêt est exécutoire. Le président :               La greffière : Du L'arrêt qui précède, dont la rédaction a été approuvée à huis clos, est notifié, par l'envoi d'une copie complète, à : - M. Alexandre Guyaz, avocat (pour A.V.________), - M. H.________, avocat (pour B.V.________), - M. Jean-Christophe Diserens, avocat (pour E.________), - Mme Juliette Perrin, avocate (pour I.________), - M. Eric Muster, avocat (pour les Etablissements hospitaliers O.________), ‑ M. Marc-Aurèle Vollenweider, avocat (pour B.S.________), - Mme C.S.________,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