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401 vom 22. April 2014</w:t>
      </w:r>
    </w:p>
    <w:p>
      <w:r>
        <w:t>VD Tribunal cantonal, 2014-04-22, FR</w:t>
      </w:r>
    </w:p>
    <w:p>
      <w:r>
        <w:rPr>
          <w:b/>
        </w:rPr>
        <w:t xml:space="preserve">Quelle: </w:t>
      </w:r>
      <w:r>
        <w:t>https://mcp.opencaselaw.ch/entscheid/vd_findinfo_D_cision___2014___401</w:t>
      </w:r>
    </w:p>
    <w:p>
      <w:r>
        <w:t>FR: VD_FINDINFO Décision / 2014 / 401 du 22 avril 2014</w:t>
      </w:r>
    </w:p>
    <w:p>
      <w:r>
        <w:t>IT: VD_FINDINFO Décision / 2014 / 401 del 22 aprile 2014</w:t>
      </w:r>
    </w:p>
    <w:p>
      <w:pPr>
        <w:pStyle w:val="Heading2"/>
      </w:pPr>
      <w:r>
        <w:t>Regeste</w:t>
      </w:r>
    </w:p>
    <w:p>
      <w:r>
        <w:t>CLASSEMENT DE LA PROCÉDURE | 319 al. 1 CPP (CH), 393 al. 1 let. a CPP (CH)</w:t>
      </w:r>
    </w:p>
    <w:p>
      <w:pPr>
        <w:pStyle w:val="Heading2"/>
      </w:pPr>
      <w:r>
        <w:t>Erwägungen</w:t>
      </w:r>
    </w:p>
    <w:p>
      <w:r>
        <w:rPr>
          <w:b/>
        </w:rPr>
        <w:t>E. 1</w:t>
      </w:r>
    </w:p>
    <w:p>
      <w:r>
        <w:t>Les parties peuvent attaquer une ordonnance de classement rendue par le Ministère public (cf. art. 319 ss CPP [Code de procédure pénale suisse du 5 octobre 2007; RS 312.0]) dans les dix jours devant l’autorité de recours (art. 322 al. 2 CPP ; cf. art. 20 al. 1 let. b CPP), qui dans le canton de Vaud est la Chambre des recours pénale du Tribunal cantonal (art. 13 LVCPP [loi d’introduction du code de procédure pénale suisse du 19 mai 2009; RSV 312.01]; art. 80 LOJV [loi d’organisation judiciaire du 12 décembre 1979; RSV 173.01]). Selon l'art. 90 CPP, les délais fixés en jours commencent à courir le jour qui suit leur notification ou l'événement qui les déclenche (al. 1); si le dernier jour du délai est un samedi, un dimanche ou un jour férié selon le droit fédéral ou cantonal, le délai expire le premier jour ouvrable qui suit (al. 2). En vertu de l'art. 91 CPP, le délai est réputé observé si l'acte de procédure est accompli auprès de l'autorité compétente au plus tard le dernier jour du délai (al. 1); les écrits doivent être remis au plus tard le dernier jour du délai à l’autorité pénale, à la Poste suisse, à une représentation consulaire ou diplomatique suisse ou, s’agissant de personnes détenues, à la direction de l’établissement carcéral (al. 2). L’ordonnance attaquée, envoyée par courrier B aux parties le jeudi 6 février 2014 (PV des opérations, p. 3), a vraisemblablement été reçue 3 jours ouvrables plus tard, soit le lundi 10 février 2014. Le délai de recours a donc commencé à courir le mardi 11 février 2014, pour venir à échéance le 20 février 2014. Interjeté ce jour-là auprès de l’autorité compétente, par la partie plaignante qui a qualité pour recourir (art. 382 al. 1 CPP), le recours est donc recevable.</w:t>
      </w:r>
    </w:p>
    <w:p>
      <w:r>
        <w:rPr>
          <w:b/>
        </w:rPr>
        <w:t>E. 2</w:t>
      </w:r>
    </w:p>
    <w:p>
      <w:r>
        <w:t>a)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Bâle 2011,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 1057 ss, spéc. p. 1255). Selon la jurisprudence,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"in dubio pro duriore" – qui ne figure pas expressément dans la loi mais se déduit indirectement des art. 324 al. 1 et 319 al. 1 CPP (ATF 137 IV 219 c. 7; TF 1B_338/2011 du 24 novembre 2011 c. 4.1)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TF 1B_272/2011 du 22 mars 2012 c. 3.1.1). b) Le recourant estime que c'est à tort que le Ministère public a considéré qu'U.________ devait être mis hors de cause parce que son téléphone cellulaire ne se trouvait pas sur les lieux au moment des faits. Il souligne qu'il a été reconnu par l'enfant et qu'il a admis se rendre parfois à [...]. Il est vrai que les investigations menées par la police ont démontré que c'était bien la voiture du prévenu qui était sur les lieux lors des faits. Il n'en demeure pas moins que B.A.________ n'a pas reconnu formellement le prévenu, se bornant à affirmer, lors de son audition, être sûr à 70 % qu'U.________ était son agresseur (cf. PV aud n° 1). De plus, l'enfant a précisé que ce dernier portait une boucle d'oreille, ce qui n'est pas le cas de U.________, qui n'a même pas de trous aux oreilles (PV aud. n° 2, p. 4, ad réponse 10). Cela étant, l'ensemble des divergences ont été relevées dans le cadre des rapports de police établis les 17 décembre 2013 et 9 janvier 2014 (P. 4 et 9) et ont fait l'objet d'une appréciation par le procureur. Dans la mesure où, après la mise en œuvre d'une surveillance rétroactive, le téléphone portable du prévenu a été localisé à Genève au moment des faits, et non à [...] où la tentative d'enlèvement a eu lieu, aucun élément ne permet de mettre U.________ formellement en cause. Le classement ordonné par le procureur est dès lors justifié, étant précisé, comme l'a fait le magistrat de première instance dans son ordonnance, que l'enquête pourra être reprise à tout moment, dès qu'un élément concret sera apporté (art. 315 CPP).</w:t>
      </w:r>
    </w:p>
    <w:p>
      <w:r>
        <w:rPr>
          <w:b/>
        </w:rPr>
        <w:t>E. 3</w:t>
      </w:r>
    </w:p>
    <w:p>
      <w:r>
        <w:t>En définitive, le recours, manifestement mal fondé, doit être rejeté, sans autres échanges d’écritures (art. 390 al. 2 CPP), et l’ordonnance du 29 janvier 2014 confirmée. Les frais de la procédure de recours, constitués en l’espèce du seul émolument d’arrêt, par 660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II. L'ordonnance du 29 janvier 2014 est confirmée. III. Les frais d'arrêt, par 660 fr. (six cent soixante francs), sont mis à la charge du recourant, dont à déduire le montant de l'avance déjà versée le 18 mars 2014, par 440 fr. (quatre cent quarante francs). IV. Le présent arrêt est exécutoire. Le président :               La greffière : Du L'arrêt qui précède, dont la rédaction a été approuvée à huis clos, est notifié, par l'envoi d'une copie complète, à : - Me Marcel Waser, avocat (pour A.A.________), - M. U.________,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