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392 vom 24. Januar 2014</w:t>
      </w:r>
    </w:p>
    <w:p>
      <w:r>
        <w:t>VD Tribunal cantonal, 2014-01-24, FR</w:t>
      </w:r>
    </w:p>
    <w:p>
      <w:r>
        <w:rPr>
          <w:b/>
        </w:rPr>
        <w:t xml:space="preserve">Quelle: </w:t>
      </w:r>
      <w:r>
        <w:t>https://mcp.opencaselaw.ch/entscheid/vd_findinfo_D_cision___2014___392</w:t>
      </w:r>
    </w:p>
    <w:p>
      <w:r>
        <w:t>FR: VD_FINDINFO Décision / 2014 / 392 du 24 janvier 2014</w:t>
      </w:r>
    </w:p>
    <w:p>
      <w:r>
        <w:t>IT: VD_FINDINFO Décision / 2014 / 392 del 24 gennaio 2014</w:t>
      </w:r>
    </w:p>
    <w:p>
      <w:pPr>
        <w:pStyle w:val="Heading2"/>
      </w:pPr>
      <w:r>
        <w:t>Regeste</w:t>
      </w:r>
    </w:p>
    <w:p>
      <w:r>
        <w:t>CONTRAVENTION, ORDONNANCE SUR LA SIGNALISATION ROUTIÈRE, NON-LIEU, INDEMNITÉ{EN GÉNÉRAL} | 429 al. 1 let. a CPP (CH)</w:t>
      </w:r>
    </w:p>
    <w:p>
      <w:pPr>
        <w:pStyle w:val="Heading2"/>
      </w:pPr>
      <w:r>
        <w:t>Erwägungen</w:t>
      </w:r>
    </w:p>
    <w:p>
      <w:r>
        <w:rPr>
          <w:b/>
        </w:rPr>
        <w:t>E. 1</w:t>
      </w:r>
    </w:p>
    <w:p>
      <w:r>
        <w:t>a) Les parties peuvent attaquer une ordonnance de classement rendue par le ministère public (cf. art. 319 et 393 al. 1 let. a CPP) – respectivement, s’agissant de la répression de contraventions de droit cantonal et communal relevant de la compétence de l’autorité municipale selon la LContr (Loi sur les contraventions du 19 mai 2009; RSV 312.11), par l’autorité pénale compétente en matière de contraventions (cf. art. 393 al. 1 let. a CPP et art. 3 al. 2 LVCPP [Loi d’introduction du Code de procédure pénale suisse du 19 mai 2009; RSV 312.01])  – dans les dix jours devant l’autorité de recours (art. 322 al. 2 CPP; cf. art. 20 al. 1 let. b CPP), qui dans le canton de Vaud est la Chambre des recours pénale du Tribunal cantonal (art. 13 LVCPP; art. 80 LOJV [Loi d’organisation judiciaire du 12 décembre 1979; RSV 173.01]). En l’espèce, déposé en temps utile devant l’autorité compétente par le prévenu qui a qualité pour recourir contre une ordonnance de classement rendue par l’autorité pénale compétente en matière de contraventions, et satisfaisant aux conditions de forme posées par l’art. 385 al. 1 CPP, le recours est recevable. b) Dans la mesure où le montant auquel prétend le recourant, qui porte sur des conséquences économiques accessoires d’une décision au sens de l’art. 395 let. b CPP, est inférieur à 5'000 fr., le recours relève de la compétence du juge unique de la Chambre des recours pénale du Tribunal cantonal (art. 13 al. 2 LVCPP [loi d’introduction du code de procédure pénale suisse; RSV 312.01]; CREP 28 mars 2014/239).</w:t>
      </w:r>
    </w:p>
    <w:p>
      <w:r>
        <w:rPr>
          <w:b/>
        </w:rPr>
        <w:t>E. 2</w:t>
      </w:r>
    </w:p>
    <w:p>
      <w:r>
        <w:t>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Commentaire romand, Code de procédure pénale suisse, Bâle 2011, n. 51 ad art. 429 CPP). Dans un arrêt de principe, le Tribunal fédéral a exposé que cette indemnisation ne se limitait pas au cas où l’intéressé avait été prévenu à tort d’avoir commis un crime ou un délit (ATF 138 IV 197, c. 2.3). Il en a ainsi déduit qu’en cas de contravention, il n’était pas possible de partir du principe que les frais de défense ne seraient pas indemnisés, et que l’intéressé devrait les supporter lui-même en vertu d’une sorte d’obligation sociale.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Or, ces constatations sont  indépendantes de la gravité de l’infraction reprochée (ATF 138 IV 197, c. 2.3.5). Toutefois, l'Etat ne prend en charge les frais de défense que dans la mesure où l'assistance était nécessaire, compte tenu de la complexité de l'affaire en fait ou en droit, et où le volume de travail, et donc les honoraires de l'avocat, étaient ainsi justifiés (ATF 138 IV 197 c. 2.3.4; cf. ég. Message du Conseil fédéral relatif à l'unification du droit de la procédure pénale du 21 décembre 2005, FF 2006 II 1057 ss, spéc. 1313; Wehrenberg/Bernhard, in: Niggli/Heer/Wiprächtiger (éd.), Basler Kommentar, Schweizerische Strafprozessordnung, Jugendstrafprozessordnung, Bâle 2011, n. 15 ad art. 429 CPP; Mizel/Rétornaz, op. cit., n. 31 ad art. 429 CPP; Juge unique CREP 28 mars 2014/239; CAPE 14 mars 2012/88 c. 2.2; ATF 115 IV 156 c. 2d). b) En l’espèce, la cause est simple, en fait et en droit, et ne présente pas de difficultés particulières que X.________ ne pouvait pas surmonter seul. Contrairement à ce qu’il soutient (recours, p. 5 in initio ), l’assistance d’un avocat n’était pas nécessaire pour rédiger l’opposition à l’ordonnance pénale du 15 octobre 2013, dès lors que, comme il l’a admis lui-même (P. 6, p. 2, du bordereau produit avec le recours), cette opposition n’avait pas besoin d’être motivée, ce qui était d’ailleurs clairement indiqué sur l’ordonnance pénale en question (P. 4 du bordereau produit avec le recours). Dans la mesure où il avait payé l’amende de 250 fr. le 16 octobre 2013, soit à la fin du délai de 30 jours dont il disposait dès la notification de l’amende (P. 5 du bordereau produit avec le recours), l’intéressé pouvait raisonnablement penser que le paiement s’était croisé avec l’envoi de l’ordonnance pénale, reçue le même jour, ce qui expliquait la notification de l’ordonnance malgré l’acquittement de l’amende et ne justifiait donc pas de consulter un avocat. C’est donc à juste titre que la Commission de police a refusé l’indemnité au recourant.</w:t>
      </w:r>
    </w:p>
    <w:p>
      <w:r>
        <w:rPr>
          <w:b/>
        </w:rPr>
        <w:t>E. 3</w:t>
      </w:r>
    </w:p>
    <w:p>
      <w:r>
        <w:t>En définitive, le recours, manifestement mal fondé, doit être rejeté, sans autre échange d’écritures (art. 390 al. 2 CPP), de sorte que la requête du recourant tendant à l’allocation d’une indemnité pour la procédure de recours doit également être rejetée. Les frais de la procédure de recours, constitués en l’espèce du seul émolument d'arrêt (art. 422 al. 1 CPP), par 450 fr. (art. 20 al. 1 TFJP [tarif des frais judiciaires pénaux; RSV 312.03.1]), seront mis à la charge du recourant, qui succombe (art. 428 al. 1 CPP). Par ces motifs, la Chambre des recours pénale, statuant à huis clos, prononce : I. Le recours est rejeté. II. L’ordonnance du 19 décembre 2013 est confirmée. III. Il n’est pas alloué d’indemnité pour la procédure de recours. IV. Les frais de la procédure de recours, par 450 fr. (quatre cent cinquante francs), sont mis à la charge du recourant. V. Le présent arrêt est exécutoire. Le président :               Le greffier : Du L'arrêt qui précède, dont la rédaction a été approuvée à huis clos, est notifié, par l'envoi d'une copie complète, à : - M. Marc Ursenbacher, avocat (pour X.________), - Ministère public central, et communiqué à : ‑ Commission de police de Morges,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