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391 vom 1. Mai 2014</w:t>
      </w:r>
    </w:p>
    <w:p>
      <w:r>
        <w:t>VD Tribunal cantonal, 2014-05-01, FR</w:t>
      </w:r>
    </w:p>
    <w:p>
      <w:r>
        <w:rPr>
          <w:b/>
        </w:rPr>
        <w:t xml:space="preserve">Quelle: </w:t>
      </w:r>
      <w:r>
        <w:t>https://mcp.opencaselaw.ch/entscheid/vd_findinfo_D_cision___2014___391</w:t>
      </w:r>
    </w:p>
    <w:p>
      <w:r>
        <w:t>FR: VD_FINDINFO Décision / 2014 / 391 du 1 mai 2014</w:t>
      </w:r>
    </w:p>
    <w:p>
      <w:r>
        <w:t>IT: VD_FINDINFO Décision / 2014 / 391 del 1 maggio 2014</w:t>
      </w:r>
    </w:p>
    <w:p>
      <w:pPr>
        <w:pStyle w:val="Heading2"/>
      </w:pPr>
      <w:r>
        <w:t>Regeste</w:t>
      </w:r>
    </w:p>
    <w:p>
      <w:r>
        <w:t>DÉTENTION PROVISOIRE, RISQUE DE FUITE, PROPORTIONNALITÉ | 221 al. 1 let. a CPP (CH), 228 CPP (CH), 393 al. 1 let. c CPP (CH)</w:t>
      </w:r>
    </w:p>
    <w:p>
      <w:pPr>
        <w:pStyle w:val="Heading2"/>
      </w:pPr>
      <w:r>
        <w:t>Erwägungen</w:t>
      </w:r>
    </w:p>
    <w:p>
      <w:r>
        <w:rPr>
          <w:b/>
        </w:rPr>
        <w:t>E. 1</w:t>
      </w:r>
    </w:p>
    <w:p>
      <w:r>
        <w:t>a) S.________, qui a donné son consentement pour l’exécution anticipée de sa peine, a déposé une demande de mise en liberté immédiate. b) La poursuite de la détention sous la forme de l'exécution anticipée de la peine présuppose l'existence d'un motif de détention provisoire particulier. Or, une mesure de détention provisoire n'est compatible avec la liberté personnelle (art. 10 al. 2 Cst. [Constitution fédérale de la Confédération suisse du 18 avril 1999; RS 101] et 5 CEDH [Convention du 4 novembre 1950 de sauvegarde des droits de l'homme et des libertés fondamentales; RS 0.101]) que si elle repose sur une base légale (art. 31 al. 1 et art. 36 al. 1 Cst.), soit en l'espèce l'art. 221 CPP (Code de procédure pénale suisse du 5 octobre 2007, RS 312.0). Elle doit en outre correspondre à un intérêt public et respecter le principe de la proportionnalité (art. 36 al. 2 et 3 Cst.).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(TF 1B_81/2013 du 14 mars 2013 c. 2, non publié aux ATF 139 IV 191). c) Dans la mesure où la personne concernée a donné son consentement pour exécuter sa peine de manière anticipée, elle a par là même renoncé à certains des droits que lui confère l'art. 5 CEDH. Il en va ainsi du contrôle périodique de la détention. Il n'en demeure pas moins que le prévenu a la possibilité de solliciter en tout temps sa mise en liberté, en vertu des art. 31 al. 4 Cst. et 5 par. 4 CEDH (ATF 139 IV 191 c. 4.1 et les réf. cit.). Cette demande de mise en liberté doit être adressée au Ministère public, qui transmet le dossier au Tribunal des mesures de contrainte s'il n'entend pas donner une suite favorable à la demande (art. 228 CPP). La décision du Tribunal des mesures de contrainte refusant la libération de la détention avant jugement peut faire l'objet d'un recours (art. 222 et 393 al. 1 let. c CPP). Celui-ci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satisfait aux conditions de forme posées par l’art. 385 al. 1 CPP.</w:t>
      </w:r>
    </w:p>
    <w:p>
      <w:r>
        <w:rPr>
          <w:b/>
        </w:rPr>
        <w:t>E. 2</w:t>
      </w:r>
    </w:p>
    <w:p>
      <w:r>
        <w:t>a) Le recourant ne conteste à juste titre pas l’existence de présomptions suffisantes de culpabilité à son encontre. b) En revanche, il conteste l’existence d’un risque de fuite (cf. art. 221 al. 1 let. a CPP).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 En l'espèce, s'agissant d'un prévenu ressortissant du Kosovo, sans profession et sans aucune attache avec la Suisse, il existe un risque concret que S.________ tente de se soustraire aux poursuites pénales en cas de libération. Au vu de ces éléments, le risque de fuite apparaît non seulement possible, mais également probable (TF 1B_414/2011 du 5 septembre 2011 c. 3.1). Le fait que le recourant, qui doit subir une intervention orthopédique, préférerait être opéré en Suisse pourrait certes le dissuader de partir à l’étranger, mais ne saurait empêcher que l’intéressé entre dans la clandestinité pour échapper à une sanction. Enfin, aucune mesure de substitution ne saurait pallier le risque de fuite.</w:t>
      </w:r>
    </w:p>
    <w:p>
      <w:r>
        <w:rPr>
          <w:b/>
        </w:rPr>
        <w:t>E. 3</w:t>
      </w:r>
    </w:p>
    <w:p>
      <w:r>
        <w:t>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S.________ est placé en détention avant jugement depuis le 16 mai 2013, soit depuis moins de douze mois. Les débats ayant été fixés aux 10 et 11 juin 2014, il aura passé un peu moins de treize mois en détention avant jugement, s’il doit y être maintenu. Au vu de la gravité des charges qui pèsent contre lui, soit de l’infraction d’incendie intentionnel, punissable d’une peine privative de liberté d’un an au moins, ainsi que de l’infraction de complicité d’escroquerie également envisageable, la durée de la détention du recourant demeure proportionnée à la peine à laquelle il s'expose.</w:t>
      </w:r>
    </w:p>
    <w:p>
      <w:r>
        <w:rPr>
          <w:b/>
        </w:rPr>
        <w:t>E. 4</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660 fr. (art. 20 al. 1 TFJP [tarif des frais judiciaires pénaux; RSV 312.03.1]), et des frais imputables à la défense d’office (art. 422 al. 1 et 2 let. a CPP), fixés à 450 fr., plus la TVA par 36 fr., soit au total 486 fr., seront mis à la charge du recourant, qui succombe (art. 428 al. 1 CPP). Le remboursement à l’Etat de l’indemnité allouée au défenseur d’office de S.________ ne sera toutefois exigible que pour autant que la situation économique de ce dernier se soit améliorée (art. 135 al. 4 CPP). Par ces motifs, la Chambre des recours pénale, statuant à huis clos, prononce : I. Le recours est rejeté. II. L’ordonnance du 11 avril 2014 est confirmée. III. L’indemnité allouée au défenseur d’office de S.________ est fixée à 486 fr. (quatre cent huitante-six francs). IV. Les frais d'arrêt, par 660 fr. (six cent soixante francs), ainsi que l’indemnité due au défenseur d’office de S.________, par 486 fr. (quatre cent huitante-six francs), sont mis à la charge de ce dernier. V. Le remboursement à l'Etat de l'indemnité allouée au chiffre III ci-dessus sera exigible pour autant que la situation économique de S.________ se soit améliorée. VI. Le présent arrêt est exécutoire. Le président :               La greffière : Du L'arrêt qui précède, dont la rédaction a été approuvée à huis clos, est notifié, par l'envoi d'une copie complète, à : - M. Baptiste Viredaz, avocat (pour S.________), - Ministère public central; et communiqué à : ‑ Mme la Présidente du Tribunal des mesures de contrainte, - Mme la Présidente du Tribunal d’arrondissement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