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388 vom 1. Mai 2014</w:t>
      </w:r>
    </w:p>
    <w:p>
      <w:r>
        <w:t>VD Tribunal cantonal, 2014-05-01, FR</w:t>
      </w:r>
    </w:p>
    <w:p>
      <w:r>
        <w:rPr>
          <w:b/>
        </w:rPr>
        <w:t xml:space="preserve">Quelle: </w:t>
      </w:r>
      <w:r>
        <w:t>https://mcp.opencaselaw.ch/entscheid/vd_findinfo_D_cision___2014___388</w:t>
      </w:r>
    </w:p>
    <w:p>
      <w:r>
        <w:t>FR: VD_FINDINFO Décision / 2014 / 388 du 1 mai 2014</w:t>
      </w:r>
    </w:p>
    <w:p>
      <w:r>
        <w:t>IT: VD_FINDINFO Décision / 2014 / 388 del 1 maggio 2014</w:t>
      </w:r>
    </w:p>
    <w:p>
      <w:pPr>
        <w:pStyle w:val="Heading2"/>
      </w:pPr>
      <w:r>
        <w:t>Regeste</w:t>
      </w:r>
    </w:p>
    <w:p>
      <w:r>
        <w:t>DÉTENTION PROVISOIRE, RISQUE DE FUITE, RISQUE DE COLLUSION, PROPORTIONNALITÉ | 221 al. 1 let. a CPP (CH), 221 al. 1 let. b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le prévenu nie avoir enlevé et séquestré sa nièce A.P.________, expliquant être parti avec son beau-frère et sa nièce au Kosovo pour rendre visite à leur famille. Toutefois, il ressort des témoignages recueillis que le prévenu est intervenu à plusieurs reprises dans la relation sentimentale entre A.P.________ et D.________. En effet, ce dernier a notamment déclaré que la famille de la victime s’était fermement opposée à sa relation avec A.P.________, car il n’était pas kosovar. Plusieurs disputes auraient eu lieu, dont une sur le lieu de travail de cette dernière, où B.P.________ et A.Z.________ auraient pris à partie le jeune homme et sa famille. Le prévenu aurait également rencontré D.________ pour lui expliquer que si A.P.________ restait avec lui, sa famille la renierait (PV aud. du 12 avril 2014). Surtout, c’est le prévenu qui serait venu chercher A.P.________ sur son lieu de travail le jour où elle a disparu. Il aurait raconté à la formatrice de cette dernière qu’il devait immédiatement l’emmener pour se rendre au chevet de sa mère (PV aud. du 11 avril 2014). Or, celle-ci n’aurait jamais été hospitalisée. La perquisition effectuée au domicile des parents de la victime, où le téléphone portale et le porte-monnaie de celle-ci ont été retrouvés à l’exception de sa carte d’identité et de son passeport suisse, semble attester d’un départ précipité, tout comme les messages que la victime aurait adressés à D.________ (PV aud. du 12 avril 2014, pp. 3 et 5). Enfin, selon les informations obtenues par les enquêteurs, A.P.________ aurait confirmé à la police du Kosovo avoir été enlevée et séquestrée par A.Z.________ et par son père, B.P.________, et avoir été droguée à cette occasion (P. 17). Elle aurait également déclaré avoir été victime d’un viol perpétré durant sa séquestration par B.Z.________, frère du prévenu. Au vu de ces éléments, il existe une présomption suffisamment sérieuse de culpabilité à l’encontre de A.Z.________.</w:t>
      </w:r>
    </w:p>
    <w:p>
      <w:r>
        <w:rPr>
          <w:b/>
        </w:rPr>
        <w:t>E. 3</w:t>
      </w:r>
    </w:p>
    <w:p>
      <w:r>
        <w:t>Le recourant conteste l’existence d’un risque de fuite (art. 221 al. 1 let. a CPP).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 b) En l’espèce, le recourant, ressortissant kosovar, est titulaire d’un permis B. Il vit en Suisse depuis 10 ans avec son épouse et son fils qui ont la nationalité suisse et est au bénéfice de prestations de l’assurance accidents. Il entretient cependant des liens étroits avec son pays d’origine où il se rend régulièrement pour rendre visite à sa famille (PV aud. du 15 avril 2014, pp. 5 s.). Tant les faits que le motif pour lesquels ceux-ci ont été commis démontrent que le prévenu a conservé une mentalité liée à certaines traditions de son pays. Les faits sont très graves et il est fortement à craindre que le prévenu cherche à se soustraire à la procédure pénale engagée contre lui au vu de la lourde peine qui pourrait être prononcée à son encontre si les faits étaient avérés. Par conséquent, le risque de fuite est concret.</w:t>
      </w:r>
    </w:p>
    <w:p>
      <w:r>
        <w:rPr>
          <w:b/>
        </w:rPr>
        <w:t>E. 4</w:t>
      </w:r>
    </w:p>
    <w:p>
      <w:r>
        <w:t>Le recourant conteste ensuite le risque de collusion. a) 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 14 et 15 ad art. 221 CPP; cf. ATF 137 IV 122 c. 6.2 et 6.4) – vise à garantir la constatation exacte et complète des faits. b) En l’espèce, le Procureur a indiqué dans sa demande de détention provisoire que plusieurs mesures d’instruction étaient en cours ou allaient prochainement être mises en œuvre, en particulier le déplacement de deux enquêteurs suisses au Kosovo pour enquêter sur place et identifier d’éventuels autres participants, ainsi que pour pourvoir au rapatriement de A.P.________. En outre, bien que B.P.________ ait été appréhendé et ainsi pu être entendu par le Procureur, il n’en demeure pas moins que le prévenu conteste les faits et qu’il est primordial à cet égard d’empêcher tout contact entre lui et la victime ou tout autre participant. Ainsi, des investigations supplémentaires apparaissent nécessaires et l'on peut craindre que A.Z.________ ne prenne certaines mesures de nature à entraver la manifestation de la vérité s'il était remis en liberté. Le risque de collusion est dès lors concret.</w:t>
      </w:r>
    </w:p>
    <w:p>
      <w:r>
        <w:rPr>
          <w:b/>
        </w:rPr>
        <w:t>E. 5</w:t>
      </w:r>
    </w:p>
    <w:p>
      <w:r>
        <w:t>a)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A.Z.________ est détenu depuis le 15 avril 2014, soit depuis un peu plus de quinze jours. Il est mis en cause pour l’enlèvement et la séquestration avec circonstances aggravantes de sa nièce, passible d’une peine privative de liberté d'un an au moins (art. 183 et 184 CP). Compte tenu des actes qui lui sont reprochés, le recourant s'expose à une peine privative de liberté d’une durée manifestement supérieure à celle de la détention provisoire subie à ce jour. Au vu de ces éléments, le principe de proportionnalité de la détention provisoire demeure respecté.</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de A.Z.________,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17 avril 2014 est confirmée. III. L'indemnité allouée au défenseur d'office de A.Z.________ est fixée à 583 fr. 20 (cinq cent huitante-trois francs et vingt centimes). IV. Les frais du présent arrêt, par 770 fr. (sept cent septante francs), ainsi que l’indemnité due au défenseur d’office de A.Z.________, par 583 fr. 20 (cinq cent huitante-trois francs et vingt centimes), sont mis à la charge de ce dernier. V. Le remboursement à l'Etat de l'indemnité allouée au chiffre III ci-dessus sera exigible pour autant que la situation économique de A.Z.________ se soit améliorée. VI. Le présent arrêt est exécutoire. Le président :               La greffière : Du L'arrêt qui précède, dont la rédaction a été approuvée à huis clos, est notifié, par l'envoi d'une copie complète, à : - M. Yann Oppliger, avocat (pour A.Z.________),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