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384 vom 23. September 2010</w:t>
      </w:r>
    </w:p>
    <w:p>
      <w:r>
        <w:t>VD Tribunal cantonal, 2010-09-23, FR</w:t>
      </w:r>
    </w:p>
    <w:p>
      <w:r>
        <w:rPr>
          <w:b/>
        </w:rPr>
        <w:t xml:space="preserve">Quelle: </w:t>
      </w:r>
      <w:r>
        <w:t>https://mcp.opencaselaw.ch/entscheid/vd_findinfo_D_cision___2014___384</w:t>
      </w:r>
    </w:p>
    <w:p>
      <w:r>
        <w:t>FR: VD_FINDINFO Décision / 2014 / 384 du 23 septembre 2010</w:t>
      </w:r>
    </w:p>
    <w:p>
      <w:r>
        <w:t>IT: VD_FINDINFO Décision / 2014 / 384 del 23 settembre 2010</w:t>
      </w:r>
    </w:p>
    <w:p>
      <w:pPr>
        <w:pStyle w:val="Heading2"/>
      </w:pPr>
      <w:r>
        <w:t>Regeste</w:t>
      </w:r>
    </w:p>
    <w:p>
      <w:r>
        <w:t>LIBÉRATION CONDITIONNELLE, MESURE THÉRAPEUTIQUE INSTITUTIONNELLE | 56 al. 6 CP, 59 CP, 62d al. 1 CP, 26 LEP, 28 LEP</w:t>
      </w:r>
    </w:p>
    <w:p>
      <w:pPr>
        <w:pStyle w:val="Heading2"/>
      </w:pPr>
      <w:r>
        <w:t>Erwägungen</w:t>
      </w:r>
    </w:p>
    <w:p>
      <w:r>
        <w:rPr>
          <w:b/>
        </w:rPr>
        <w:t>E. 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[Code pénal suisse du 21 décembre 1937, RS 311.0]).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[Code de procédure pénale suisse du 5 octobre 2007, RS 312.0), à l’autorité de recours (art. 396 al. 1 CPP). En l’espèce, il y a donc lieu d’entrer en matière sur le recours, qui a été interjeté en temps utile devant l’autorité compétente et qui satisfait aux conditions de forme posées par l’art. 385 al. 1 CPP.</w:t>
      </w:r>
    </w:p>
    <w:p>
      <w:r>
        <w:rPr>
          <w:b/>
        </w:rPr>
        <w:t>E. 1.3</w:t>
      </w:r>
    </w:p>
    <w:p>
      <w:r>
        <w:t>et les références citées). 3. a) En ce qui concerne tout d'abord le pronostic à établir quant au comportement futur du condamné, tant la CIC que l'OEP et les experts font clairement état d'un risque de récidive. Selon les Drs J.________ et H.________, qui ont examiné L.________ en dernier lieu, le recourant présente un risque non négligeable de récidive s'il se trouve dans des circonstances similaires à celles qui ont caractérisé ses actes antérieurs, notamment en termes de liens avec l'enfant. En outre, les experts ne se sont pas montrés très optimistes quant à l'évolution du recourant, compte tenu des caractéristiques de sa personnalité. Toutefois, ils ont relevé qu'il restait très difficile d'affirmer que, pour lui, le traitement serait véritablement voué à l'échec avant qu'un bilan de déroulement d'entretien régulier avec un thérapeute dans un setting psychothérapeutique puisse être établi. A cet égard, le recourant joue sur les mots en définissant l'expression "non négligeable", utilisée par les experts, de manière très restrictive. Il se trompe en effet lorsqu'il prétend que, ce faisant, les spécialistes ont simplement voulu dire que le risque n'était pas suffisamment faible pour être écarté mais qu'il n'était pas en soi important. L'interprétation faite sur ce point par le premier juge est au contraitre adéquate et, partant, on ne peut en l'espèce exclure le risque concret de récidive. Cela étant, le pronostic à la libération conditionnelle est clairement défavorable. b) Reste à examiner si les conditions du maintien de la mesure sont toujours réalisées, ce que le recourant conteste. En l'occurrence, la mesure ordonnée n'a pas permis au recourant d'évoluer favorablement jusqu'à ce jour. Lors de l'audience devant le Juge d'application des peines, le 27 mars 2013, L.________ s'est pour l'essentiel positionné en victime et a contesté tout comportement délictueux. Tout en continuant à clamer son innocence, il a déclaré n'avoir aucune raison d'entrer dans une démarche thérapeutique. Il a estimé avoir été condamné à tort et, de ce fait, ne pas pouvoir présenter le moindre risque de récidive. Dans ce contexte, on peut effectivement s'interroger sur le point de savoir si la mesure ordonnée a encore une chance de succès. Comme le recourant refuse catégoriquement la mesure qui a été ordonnée, cela de manière persistante, on pourrait partir de l'idée que le traitement est définitivement inopérant dès lors qu'il n'est pas susceptible de permettre encore une amélioration de l'état du recourant en vue de sa réinsertion dans la société. Or, le recourant s'est, à ce jour, toujours rendu aux entretiens thérapeutiques auxquels il avait été convié et, à ce stade, il n'est pas possible de nier toute utilité à la mesure ordonnée. Les experts disent d'ailleurs eux-mêmes qu'un constat d'échec serait à ce jour prématuré. Rien ne permet, en l'état du dossier de se substituer à leur appréciation, ce d'autant moins que l'examen auquel il est procédé dans le cadre de la présente ordonnance est le premier quant à la libération conditionnelle de la mesure thérapeutique. c) L'argumentation du juge d'application des peines est ainsi convaincante et son appréciation, à laquelle se réfère intégralement la cour de céans, ne prête pas le flanc à la critique. C'est ainsi à raison que le premier juge a refusé à L.________ la libération conditionnelle de la mesure thérapeutique institutionnelle prononcée à son encontre le 23 septembre 2010 par le Tribunal correctionnel de l'arrondissement de Lausanne et confirmée le 14 janvier 2011 par la Cour de cassation pénale du Tribunal cantonal. 4. Il résulte de ce qui précède que le recours, manifestement mal fondé, doit être rejeté sans autres échanges d'écritures (art. 390 al. 2 CPP) et l’ordonnance confirmée. Les frais de la procédure de recours, constitués en l’espèce de l'émolument d'arrêt (art. 422 al. 1 CPP), par 1'320 fr. (art. 20 al. 1 TFJP [tarif des frais judiciaires pénaux; RSV 312.03.1]), et des frais imputables à la défense d’office (art. 422 al. 1 et 2 let. a CPP), fixés à 640 fr., débours compris, plus la TVA, par 51 fr. 20, soit 691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3 avril 2014 est confirmée. III. L'indemnité allouée au défenseur d'office de L.________ est fixée à 691 fr. 20 (six cent nonante et un francs et vingt centimes). IV . Les frais d'arrêt, par 1'320 fr. (mille trois cent vingt francs), ainsi que l'indemnité due au défenseur d'office de L.________ selon le chiffre III ci-dessus, sont mis à la charge de ce dernier. V. Le remboursement à l'Etat de l'indemnité allouée au chiffre III ci-dessus sera exigible pour autant que la situation économique de L.________ se soit améliorée. VI. Le présent arrêt est exécutoire. Le président :               La greffière : Du L'arrêt qui précède, dont la rédaction a été approuvée à huis clos, est notifié, par l'envoi d'une copie complète, à : - Me Dominique Morard, avocat (pour L.________), - Ministère public central, et communiqué à : - M. le Juge d'application des peines, - Mme le Procureur de l'arrondissement de Lausanne, - Office d'exécution des peines (réf.: MES/61131/AVI/VRI), - Etablissements pénitentiaires de la Plaine de 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r>
        <w:rPr>
          <w:b/>
        </w:rPr>
        <w:t>E. 2</w:t>
      </w:r>
    </w:p>
    <w:p>
      <w:r>
        <w:t>a)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b)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 1.2 et la jurisprudence citée). Ce pronostic doit être posé en tenant compte du principe de la proportionnalité (art.</w:t>
      </w:r>
    </w:p>
    <w:p>
      <w:r>
        <w:rPr>
          <w:b/>
        </w:rPr>
        <w:t>E. 5</w:t>
      </w:r>
    </w:p>
    <w:p>
      <w:r>
        <w:t>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 1.2 et les arrêts cités). Le pronostic doit également tenir compte de la durée de la privation de liberté déjà subie par l'auteur. c)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(ATF 137 IV 201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