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383 vom 30. April 2014</w:t>
      </w:r>
    </w:p>
    <w:p>
      <w:r>
        <w:t>VD Tribunal cantonal, 2014-04-30, FR</w:t>
      </w:r>
    </w:p>
    <w:p>
      <w:r>
        <w:rPr>
          <w:b/>
        </w:rPr>
        <w:t xml:space="preserve">Quelle: </w:t>
      </w:r>
      <w:r>
        <w:t>https://mcp.opencaselaw.ch/entscheid/vd_findinfo_D_cision___2014___383</w:t>
      </w:r>
    </w:p>
    <w:p>
      <w:r>
        <w:t>FR: VD_FINDINFO Décision / 2014 / 383 du 30 avril 2014</w:t>
      </w:r>
    </w:p>
    <w:p>
      <w:r>
        <w:t>IT: VD_FINDINFO Décision / 2014 / 383 del 30 aprile 2014</w:t>
      </w:r>
    </w:p>
    <w:p>
      <w:pPr>
        <w:pStyle w:val="Heading2"/>
      </w:pPr>
      <w:r>
        <w:t>Regeste</w:t>
      </w:r>
    </w:p>
    <w:p>
      <w:r>
        <w:t>RISQUE DE FUITE, RISQUE DE RÉCIDIVE, RISQUE DE COLLUSION | 138 ch. 1 CP, 139 ch. 1 CP, 186 CP, 19a LStup, 221 al. 1 let. a CPP (CH), 221 al. 1 let. b CPP (CH), 221 al. 1 let. c CPP (CH)</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satisfait aux conditions de forme posées par l’art. 385 al. 1 CPP.</w:t>
      </w:r>
    </w:p>
    <w:p>
      <w:r>
        <w:rPr>
          <w:b/>
        </w:rPr>
        <w:t>E. 2</w:t>
      </w:r>
    </w:p>
    <w:p>
      <w:r>
        <w:t>Le recourant conteste l’existence d’un risque de collusion. a) Selon la jurisprudence du Tribunal fédéral,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l’autorité doit démontrer qu’il existe un risque de collusion concret en ce sens que les circonstances particulières de l’espèce doivent faire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b) En l’espèce, l’instruction a débuté il y a quinze jours à peine et l’étendue de l’activité délictueuse du recourant doit encore être établie. A ce stade des investigations, il est ainsi à craindre que le recourant, s’il devait être immédiatement libéré, ne compromette la recherche de la vérité en prenant contact avec des témoins ou en faisant disparaître des preuves. On relèvera au surplus que la collaboration dont se prévaut le recourant (recours, p. 11) est à prendre avec prudence. En effet, ses déclarations sont peu convaincantes et ne sont pour l’heure corroborées par aucune pièce ni aucun témoignage. L’instruction devrait permettre d’éclaircir rapidement ces points. Le risque de collusion est ainsi réalisé et s'oppose à la levée de la détention provisoire de F.________.</w:t>
      </w:r>
    </w:p>
    <w:p>
      <w:r>
        <w:rPr>
          <w:b/>
        </w:rPr>
        <w:t>E. 3</w:t>
      </w:r>
    </w:p>
    <w:p>
      <w:r>
        <w:t>condamnations, la dernière datant du 24 janvier 2014 pour vol, dommages à la propriété et violation de domicile notamment, pour laquelle l’intéressé a été condamné à une peine privative de liberté de 180 jours avec sursis pendant cinq ans, sous déduction de 50 jours de détention avant jugement. F.________ n’est donc pas un délinquant primaire et force est de constater que ni la détention subie dans le cadre de sa condamnation du 24 janvier 2014, ni son passage au Tribunal ne l’ont dissuadé de reprendre une activité délictueuse. A cela s’ajoute le fait que le recourant est un ressortissant marocain, sans emploi et sans domicile fixe.</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 principe est également valable pour la détention pour des motifs de sûreté. b)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Les mesures de substitution prévues à l'art. 237 al. 2 CPP sont donc un succédané à la détention provisoire poursuivant le même objectif, tout en étant moins sévères (Schmocker, in : Kuhn/Jeanneret (éd.), op. cit., n. 2 ad art. 237 CPP). Le tribunal doit les prononcer à la place de la détention provisoire ou pour des motifs de sûreté si elles permettent d'empêcher la concrétisation du risque. Elles sont donc l'émanation directe du principe de la proportionnalité, consacré par l'art. 197 al. 1 let. c CPP, en vertu duquel le maintien en détention pour les besoins de l'instruction représente l' ultima ratio (ibidem). c) En l'espèce, F.________ est détenu depuis le 15 avril 2014, soit depuis environ quinze jours. Compte tenu des actes qui lui sont reprochés, il s'expose à une peine privative de liberté d’une durée supérieure à celle ordonnée par le Tribunal des mesures de contrainte. Par ailleurs, aucune mesure de substitution ne paraît suffisante pour prévenir efficacement tout risque de collusion. Il n'existe donc en l'état aucun succédané adéquat à la détention provisoire.</w:t>
      </w:r>
    </w:p>
    <w:p>
      <w:r>
        <w:rPr>
          <w:b/>
        </w:rPr>
        <w:t>E. 5</w:t>
      </w:r>
    </w:p>
    <w:p>
      <w:r>
        <w:t>Le recourant requiert que Me Antoine Eigenmann soit nommé défenseur d’office dans le cadre de la présente procédure de recours. En l’espèce, Me Antoine Eigenmann a été désigné comme avocat de la première heure. A ce titre, il reste défenseur d’office pour la procédure de recours tant qu’une décision du Procureur n’a pas été rendue suite à sa demande du 15 avril 2014 (CREP 12 juillet 2012/365; CREP 26 août 2011/416). Dès lors, Me Antoine Eigenmann a droit à une indemnité d'office pour la procédure de recours.</w:t>
      </w:r>
    </w:p>
    <w:p>
      <w:r>
        <w:rPr>
          <w:b/>
        </w:rPr>
        <w:t>E. 6</w:t>
      </w:r>
    </w:p>
    <w:p>
      <w:r>
        <w:t>En définitive, le recours, manifestement mal fondé, doit être rejeté sans autres échanges d’écritures (art. 390 al. 2 CPP) et l'ordonnance entreprise confirmée. Les frais de la procédure de recours, constitués en l’espèce de l’émolument d'arrêt, par 770 fr. (art. 20 al. 1 TFJP [tarif des frais judiciaires pénaux;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de F.________ ne sera toutefois exigible que pour autant que la situation économique de ce dernier se soit améliorée (art. 135 al. 4 CPP). Par ces motifs, la Chambre des recours pénale, statuant à huis clos, prononce : I. Le recours est rejeté. II. L’ordonnance du 17 avril 2014 est confirmée. III. L’indemnité allouée au défenseur d’office de F.________ est fixée à 777 fr. 60 (sept cent septante-sept francs et soixante centimes). IV. Les frais d’arrêt, par 770 fr. (sept cent septante francs), ainsi que l’indemnité due au défenseur d’office de F.________, par 777 fr. 60 (sept cent septante-sept francs et soixante centimes), sont mis à la charge de ce dernier. V. Le remboursement à l’Etat de l’indemnité allouée au chiffre III ci-dessus sera exigible pour autant que la situation économique de F.________ se soit améliorée. VI. L‘ arrêt est exécutoire. Le président :               La greffière : Du L'arrêt qui précède, dont la rédaction a été approuvée à huis clos, est notifié, par l'envoi d'une copie complète, à : - Me Antoine Eigenmann, avocat (pour F.________),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