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381 vom 24. Januar 2014</w:t>
      </w:r>
    </w:p>
    <w:p>
      <w:r>
        <w:t>VD Tribunal cantonal, 2014-01-24, FR</w:t>
      </w:r>
    </w:p>
    <w:p>
      <w:r>
        <w:rPr>
          <w:b/>
        </w:rPr>
        <w:t xml:space="preserve">Quelle: </w:t>
      </w:r>
      <w:r>
        <w:t>https://mcp.opencaselaw.ch/entscheid/vd_findinfo_D_cision___2014___381</w:t>
      </w:r>
    </w:p>
    <w:p>
      <w:r>
        <w:t>FR: VD_FINDINFO Décision / 2014 / 381 du 24 janvier 2014</w:t>
      </w:r>
    </w:p>
    <w:p>
      <w:r>
        <w:t>IT: VD_FINDINFO Décision / 2014 / 381 del 24 gennaio 2014</w:t>
      </w:r>
    </w:p>
    <w:p>
      <w:pPr>
        <w:pStyle w:val="Heading2"/>
      </w:pPr>
      <w:r>
        <w:t>Regeste</w:t>
      </w:r>
    </w:p>
    <w:p>
      <w:r>
        <w:t>PLAINTE PÉNALE, CALCUL DU DÉLAI, DÉCISION D'IRRECEVABILITÉ, DIFFAMATION, CALOMNIE, PRINCIPE DE LA BONNE FOI | 14 CP, 173 CP, 174 CP, 31 CP, 310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Le recourant soutient que la plainte a été déposée dans le délai légal. a) Aux termes de l'art. 31 CP, le droit de porter plainte se prescrit par trois mois, le délai courant du jour où l’ayant droit a connu l’auteur de l’infraction. Le délai institué par l'art. 31 CP étant un délai de péremption, il ne peut être ni interrompu, ni prolongé (ATF 118 IV 325 c. 2b; Dupuis et alii, Petit commentaire du Code pénal, Bâle 2012, n. 2 ad art. 31 CP; Favre/Pellet/Stoudmann, Code pénal annoté, 3 e éd. révisée, Lausanne 2007/2011, n. 1. ad art. 31 CP). Selon la doctrine et la jurisprudence, le point de départ du délai de plainte est le jour où le lésé a connaissance non seulement de l'auteur de l'infraction, mais aussi des éléments objectifs et subjectifs de celle-ci (ATF 132 IV 49 c. 3.2 in initio; TF 6B_145/2010 du 11 mai 2010 c. 1.3; Riedo, Der Strafantrag, thèse, Fribourg 2004, pp. 444 ss). b) En l'espèce, comme le soutient à juste titre le recourant, ce dernier n’a pu prendre connaissance des motifs des résiliations qu’au moment du dépôt de la requête de la bailleresse au Tribunal des baux le 31 octobre 2013, les résiliations notifiées les 23 mai et 19 juillet 2013 n’étant pas motivées. Déposée le 15 novembre 2013, la plainte du recourant est intervenue dans le délai légal de trois mois (art. 31 CP), de sorte qu'elle n'est pas tardive.</w:t>
      </w:r>
    </w:p>
    <w:p>
      <w:r>
        <w:rPr>
          <w:b/>
        </w:rPr>
        <w:t>E. 3</w:t>
      </w:r>
    </w:p>
    <w:p>
      <w:r>
        <w:t>a)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 b)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Tant la diffamation que la calomnie sont des infractions intentionnelles (Corboz, Les infractions en droit suisse, 3 e éd., vol. I, Berne 2010, n. 48 ad art. 173 CP et n. 11 ad art. 174 CP), la seconde se distinguant de la première en ce sens qu'un élément subjectif supplémentaire doit être réalisé, à savoir que l'auteur sait – le dol éventuel n'est pas suffisant – que le fait qu'il allègue est faux (Corboz, op. cit., n. 1 ad art. 174 CP; Favre/Pellet/Stoudmann, op. cit., n. 1.1 ad art. 174 CP). c) 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op. cit., n. 54 ad. art. 173 CP, p. 592).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ou s'il n'a pas agi pour dire du mal d'autrui (et ce, même si sa déclaration n'est pas fondée sur un motif suffisant) (ATF 116 IV 31 c. 3; ATF 116 IV 205 c. 3b). L'accusé admis à apporter les preuves libératoires a le choix de fournir la preuve de la vérité ou la preuve de la bonne foi (ATF 124 IV 149 c. 3a). Apporte la preuve de la vérité un accusé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 c. 2c et 2e; ATF 106 IV 115 c. 2a). En outre, la preuve de la vérité doit être considérée comme rapportée par l'auteur lorsque les faits qu'il a allégués sont établis pour l'essentiel (ATF 102 IV 176 c. 1b). La preuve de la bonne foi suppose que l'accusé établisse qu'il avait des raisons sérieuses de tenir de bonne foi ses allégations pour vraies ou ses soupçons pour fondés (cf. art. 173 ch. 2 CP; ATF 102 IV 176 c. 2c). L'accusé est de bonne foi s'il a cru à la véracité de ce qu'il disait (Corboz, op. cit., n. 77 ad art. 173 CP; ATF 124 IV 149 c. 3b). Pour échapper à la sanction pénale, l'accusé de bonne foi doit démontrer qu'il a accompli les actes que l'on pouvait exiger de lui, selon les circonstances et sa situation personnelle, pour contrôler la véracité de ses allégations et la considérer comme établie (ATF 116 IV 205 c. 3; ATF 105 IV 114 c. 2a).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107 IV 34 c. 4a; ATF 102 IV 176 c. 1c). Il faut donc que l'accusé établisse les éléments dont il disposait à l'époque, ce qui relève du fait; sur cette base, le juge doit apprécier si ces éléments étaient suffisants pour croire à la véracité du propos, ce qui relève du droit (Corboz, op. cit., n. 76 ad art. 173 CP). d) Dans le cadre de l'application de l'art. 173 CP, les motifs justificatifs de la partie générale du code pénal, qui excluent d'emblée l'illicéité de l'acte, doivent être examinés avant la question de la preuve libératoire (ATF 131 IV 154 c. 1.3.1 et les références citées; Dupuis et alii, op. cit., n. 49 ad art. 173 CP). Le fait justificatif fréquemment invoqué dans le cadre de la diffamation est celui des actes autorisés par la loi (art. 14 CP). Selon l'art. 14 CP, quiconque agit comme la loi l'ordonne ou l'autorise se comporte de manière licite, même si l'acte est punissable en vertu de la loi pénale. Cette norme peut, dans certaines hypothèses, exclure la culpabilité en cas d'atteinte à l'honneur. La jurisprudence a précisé que, dans le cadre d'une procédure judiciaire, les allégations attentatoires à l'honneur d'une partie sont justifiées par le devoir de plaider la cause pour autant qu'elles soient pertinentes, qu'elles n'aillent pas au-delà de ce qui est nécessaire et qu'elles ne soient pas inutilement blessantes ou propagées de mauvaise foi; de simples suppositions doivent être présentées comme telles (TF 1B_745/2012 du 26 décembre 2013 c. 3.2; ATF 135 IV 177 c. 4; TF 6B_850/2008 du 26 décembre 2008 c. 2.2; ATF 131 IV 154 c. 1.3.1).</w:t>
      </w:r>
    </w:p>
    <w:p>
      <w:r>
        <w:rPr>
          <w:b/>
        </w:rPr>
        <w:t>E. 4</w:t>
      </w:r>
    </w:p>
    <w:p>
      <w:r>
        <w:t>a) En l'espèce, il faut admettre que les motifs allégués par l’hoirie D.________, dans sa requête du 31 octobre 2013, sont propres à porter atteinte à la considération du recourant dans la mesure où elle explique que ce dernier aurait eu un comportement méprisable envers les autres locataires. A ce stade, il ne peut en outre pas être exclu que l’hoirie D.________ ait agi intentionnellement, à tout le moins sous la forme du dol éventuel. b) Cela étant, il convient d'examiner si l'hoirie D.________ peut invoquer un fait justificatif au sens de l’art. 14 CP. Il ressort des pièces au dossier que plusieurs locataires avaient formulé des plaintes à l’encontre du recourant (P. 5/2 à 5/5). Ce dernier aurait été menaçant à l’égard de ses voisins qui ne se sentaient plus en sécurité. C’est sur cette base que l’hoirie D.________ a résilié les baux à loyer les 23 mai et 19 juillet 2013. Ainsi, dans la requête du 31 octobre 2013, l’hoirie D.________ n’a fait que retranscrire les griefs de ses locataires, voisins du recourant, et ce pour justifier les raisons des résiliations des baux à loyer. Les allégations étaient à cet égard pertinentes et n'allaient pas au-delà de ce qui était nécessaire. Dans ces circonstances, il faut admettre l’application de l’art. 14 CP, de sorte qu’il existait un fait justificatif à l’allégation de faits attentatoires à l’honneur de Z.________. c) Par surabondance, il sied de constater que les conditions d’admission de la preuve libératoire de la bonne foi sont également réalisées. En effet, les motifs invoqués par l’hoirie D.________ à l’appui de sa requête du 31 octobre 2013 se fondent sur les courriers concordants de trois locataires. L’hoirie avait donc des raisons légitimes de croire que le recourant s’était comporté de manière menaçante envers ses voisins, générant chez ces derniers un sentiment d’insécurité. La preuve de la bonne foi a ainsi été apportée. d) Sur le vu de ce qui précède, l’ordonnance de non-entrée en matière rendue par le Ministère public de l’arrondissement de Lausanne doit être confirmée.</w:t>
      </w:r>
    </w:p>
    <w:p>
      <w:r>
        <w:rPr>
          <w:b/>
        </w:rPr>
        <w:t>E. 5</w:t>
      </w:r>
    </w:p>
    <w:p>
      <w:r>
        <w:t>En définitive, le recours, manifestement mal fondé, doit être rejeté sans autres échanges d’écritures (art. 390 al. 2 CPP). Les frais de la procédure de recours, constitués en l’espèce du seul émolument d'arrêt (art. 422 al. 1 CPP), par 880 fr. (art. 20 al. 1 TFJP [tarif des frais judiciaires pénaux; RSV 312.03.1]), seront mis à la charge de Z.________, qui succombe (art. 428 al. 1 CPP). Par ces motifs, la Chambre des recours pénale, statuant à huis clos, prononce : I. Le recours est rejeté. II. L'ordonnance du 26 novembre 2013 est confirmée. III. Les frais du présent arrêt, par 880 fr. (huit cent huitante francs), sont mis à la charge de Z.________. IV. Le présent arrêt est exécutoire. Le président :               La greffière : Du L'arrêt qui précède, dont la rédaction a été approuvée à huis clos, est notifié, par l'envoi d'une copie complète, à : - M. César Montalto, avocat (pour Z.________),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