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378 vom 8. April 2014</w:t>
      </w:r>
    </w:p>
    <w:p>
      <w:r>
        <w:t>VD Tribunal cantonal, 2014-04-08, FR</w:t>
      </w:r>
    </w:p>
    <w:p>
      <w:r>
        <w:rPr>
          <w:b/>
        </w:rPr>
        <w:t xml:space="preserve">Quelle: </w:t>
      </w:r>
      <w:r>
        <w:t>https://mcp.opencaselaw.ch/entscheid/vd_findinfo_D_cision___2014___378</w:t>
      </w:r>
    </w:p>
    <w:p>
      <w:r>
        <w:t>FR: VD_FINDINFO Décision / 2014 / 378 du 8 avril 2014</w:t>
      </w:r>
    </w:p>
    <w:p>
      <w:r>
        <w:t>IT: VD_FINDINFO Décision / 2014 / 378 del 8 aprile 2014</w:t>
      </w:r>
    </w:p>
    <w:p>
      <w:pPr>
        <w:pStyle w:val="Heading2"/>
      </w:pPr>
      <w:r>
        <w:t>Regeste</w:t>
      </w:r>
    </w:p>
    <w:p>
      <w:r>
        <w:t>SUPPRESSION{EN GÉNÉRAL}, SÉQUESTRE{MESURE PROVISIONNELLE}, ACHETEUR, PRINCIPE DE LA BONNE FOI | 70 al. 2 CP, 71 al. 1 CP, 263 al. 1 let. d CPP (CH)</w:t>
      </w:r>
    </w:p>
    <w:p>
      <w:pPr>
        <w:pStyle w:val="Heading2"/>
      </w:pPr>
      <w:r>
        <w:t>Erwägungen</w:t>
      </w:r>
    </w:p>
    <w:p>
      <w:r>
        <w:rPr>
          <w:b/>
        </w:rPr>
        <w:t>E. 1</w:t>
      </w:r>
    </w:p>
    <w:p>
      <w:r>
        <w:t>a) En vertu de l’art. 382 al. 1 CPP (Code de procédure pénale suisse du 5 octobre 2007; RS 312.0), toute partie qui a un intérêt juridiquement protégé à l'annulation ou à la modification d’une décision a qualité pour recourir contre celle-ci. L'intérêt juridiquement protégé doit être distingué de l'intérêt digne de protection, qui n'est pas nécessairement un intérêt juridique, mais peut être un intérêt de fait, lequel n'est pas suffisant à conférer la qualité pour recourir (Calame, in: Kuhn/Jeanneret (éd.), Commentaire romand, Code de procédure pénale suisse, Bâle 2011, n. 1 ad art. 382 CPP). Le recourant doit ainsi établir que la décision attaquée viole une règle de droit qui a pour but de protéger ses intérêts et qu'il dispose d'un intérêt à l'élimination de cette atteinte (Calame, in: Kuhn/Jeanneret (éd.), op. cit., n. 2 ad art. 382 CPP). En l’espèce, les recourants, en tant que parties plaignantes, ont à l’évidence un intérêt digne de protection dans le cadre de cette procédure. En outre, il résulte de l’art. 73 al. 1 et 2 CP que le juge peut allouer au lésé, à sa demande, jusqu'à concurrence des dommages-intérêts fixés judiciairement, le montant de l'amende payée par le condamné, les objets et valeurs confisqués et les créances compensatrices, à la condition que le lésé cède à l'Etat une part correspondante de sa créance. Cette disposition constitue une règle de droit qui a pour but de protéger les intérêts du lésé, lequel a donc un intérêt juridiquement protégé au maintien du séquestre en vue de l’exécution d’une créance compensatrice dont le montant pourrait finalement lui être reversé, étant précisé que le séquestre d'éléments du patrimoine peut être ordonné afin d'assurer l'exécution de la créance compensatrice (art. 71 al. 3 CP). Dans la mesure où une créance compensatrice découlant des infractions éventuellement commises par les prévenus pourrait être prononcée dans la présente procédure, les recourants disposent également d’un intérêt juridiquement protégé (cf. TF 1B_326/2013 du 6 mars 2014 c. 2.4). Il résulte de ce qui précède qu’I.________, V.________ et A.________ ont la qualité pour recourir au sens de l’art. 382 al. 1 CPP. b) Au surplus, les recours ont été interjetés dans le délai légal de dix jours (art. 396 al. 1 CPP) contre une décision du Ministère public (art. 393 al. 1 let. a CPP) et dans les formes prescrites (art. 385 al. 1 CPP). Ils sont donc recevables.</w:t>
      </w:r>
    </w:p>
    <w:p>
      <w:r>
        <w:rPr>
          <w:b/>
        </w:rPr>
        <w:t>E. 2</w:t>
      </w:r>
    </w:p>
    <w:p>
      <w:r>
        <w:t>a) Les recourants estiment en substance qu’il est à ce stade probable que les acquéreurs du bien-fonds litigieux ne puissent pas se prévaloir de leur bonne foi, si bien qu’une confiscation pourrait être opérée en leurs mains et que le séquestre doit par conséquent être maintenu jusqu’à l’issue de la procédure au fond. b) Selon l’art. 263 al. 1 let. d CPP, les objets et les valeurs patrimoniales appartenant au prévenu ou à des tiers peuvent être séquestrés notamment lorsqu'il est probable qu'ils devront être confisqués (let. d). Une telle mesure est fondée sur la vraisemblance; comme cela ressort de l'art. 263 al. 1 CPP, une simple probabilité suffit car la saisie se rapporte à des faits non encore établis, respectivement à des prétentions encore incertaines. L'autorité doit pouvoir décider rapidement du séquestre provisoire (cf. art. 263 al. 2 CPP), ce qui exclut qu'elle résolve des questions juridiques complexes ou qu'elle attende d'être renseignée de manière exacte et complète sur les faits avant d'agir. Le séquestre conservatoire peut être maintenu tant que subsiste la probabilité d'une confiscation, l'intégralité des fonds devant demeurer à disposition de la justice aussi longtemps qu'il existe un doute sur la part des fonds qui pourrait provenir d'une activité criminelle (TF 1B_365/2012 du 10 septembre 2012 c. 3.1 et les réf. cit.).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70 al. 2 CP précise que la confiscation n'est pas prononcée lorsqu'un tiers a acquis les valeurs dans l'ignorance des faits qui l'auraient justifiée, et cela dans la mesure où il a fourni une contre-prestation adéquate ou si la confiscation se révèle d'une rigueur excessive. Conformément à l'art. 71 al. 1 CP, une créance compensatrice ne peut pas non plus être prononcée contre un tiers si les conditions de l'art. 70 al. 2 CP sont réalisées. La confiscation à l’égard d’un tiers ne sera possible que si celui-ci a une connaissance certaine des faits qui auraient justifié la confiscation ou, à tout le moins, qu’il considère leur existence comme sérieusement possible, soit qu’il connaisse les infractions d’où provenaient les valeurs ou, du moins, ait eu des indices sérieux que les valeurs provenaient d’une infraction. En d’autres termes, il faut que le tiers ait une connaissance – correspondant au dol éventuel – des faits justifiant la confiscation (Dupuis/Geller/Monnier/Moreillon/Piguet/Bettex/Stoll (éd.), Petit commentaire, Code pénal, 2012, n. 21 ad art. 70 CP et les réf. cit.). Pour échapper à la confiscation, il ne suffit pas que le tiers ait été de bonne foi au moment de l’acquisition des valeurs patrimoniales litigieuses; il faut encore que cette bonne foi subsiste au moment où le tiers accomplit sa contre-prestation (Dupuis et alii, op. cit., n. 23 ad art. 70 CP et les réf. cit.). c) En l’espèce, on relèvera d’abord que le transfert de propriété sur un bien-fonds est soumis au principe absolu de l’inscription au registre foncier (cf. art. 656 al. 1 CC [Code civil; RS 210]). Or, il n’apparaît pas que B.________ et L.________ aient été inscrits au registre foncier en qualité de propriétaires. On ne saurait donc considérer que ceux-ci aient acquis le bien-fonds litigieux, respectivement qu’ils soient légitimés à contester la confiscation de ce bien-fonds, en invoquant leur bonne foi. Quoi qu’il en soit, même à supposer que les prénommés puissent faire valoir un droit de propriété sur le bien-fonds séquestré, force est d’admettre qu’il existe en l’état des éléments permettant de douter sérieusement de leur bonne foi pour les motifs pertinents invoqués par les recourants. En effet, l’acte de promesse de vente du bien-fonds litigieux, instrumenté par le notaire X.________ et conclu le 4 avril 2011 entre, d’une part, R.G.________ et son épouse, soit les promettant-vendeurs, et, d’autre part, B.________ et L.________, soit les promettant-acquéreurs, contient des clauses qui semblent insolites (cf. P. 386/1). Il apparaît notamment que les promettant-acquéreurs, en signant la promesse de vente, ont accepté de prendre le risque d’effectuer, en date du 30 juin 2011, le paiement de 750'000 fr. directement en main du vendeur, sans passer par le compte de consignation du notaire, avant même l’inscription de l’acquéreur au Registre foncier comme propriétaire et avant même l’inscription au Registre foncier d’une cédule hypothécaire. Ces clauses peuvent être révélatrices de l’urgence de la situation pour les vendeurs et auraient dû inciter les acquéreurs à la méfiance. Par ailleurs, s’il est vrai que l’extrait du Registre foncier sur lequel se fondait la promesse de vente n’indiquait pas que l’immeuble concerné faisait l’objet d’une restriction du droit d’aliéner ensuite de la décision de séquestre du 27 janvier 2011, un nouvel extrait mentionnant le séquestre pénal aurait été remis le 3 mai 2011 au notaire (P. 395/7), soit apparemment avant le paiement de la majeure partie du prix de vente. Certes, dans son courrier 19 décembre 2013, le notaire indique ne s’être rendu compte de l’existence de ce nouvel extrait que récemment, précisant que le Registre foncier n’aurait pas dû inscrire la cédule hypothécaire sans l’accord de l’autorité qui a demandé le séquestre (P. 395). Toutefois, si l’on tient compte de l’ensemble des éléments, à savoir de la chronologie des événements, des clauses de la promesse de vente, de la rapidité du processus de vente et du flou qui entoure les informations dont disposaient les futurs acheteurs, force est de constater qu’en l’état du dossier, il existe des indices suffisants pour douter de la bonne foi de ces derniers. Seule la suite de l’enquête permettra de confirmer ou d’infirmer ces doutes. Il appartiendra donc au procureur d’éclaircir ces différents points, soit notamment la question du droit de propriété et, le cas échéant, les informations dont disposaient les acheteurs. Par conséquent, la levée du séquestre apparaît à ce stade injustifiée.</w:t>
      </w:r>
    </w:p>
    <w:p>
      <w:r>
        <w:rPr>
          <w:b/>
        </w:rPr>
        <w:t>E. 3</w:t>
      </w:r>
    </w:p>
    <w:p>
      <w:r>
        <w:t>Il résulte de ce qui précède que les recours doivent être admis et l’ordonnance attaquée annulée. Les frais de la procédure de recours, constitués du seul émolument d'arrêt, par 990 fr. (art. 20 al. 1 TFJP [tarif des frais judiciaires pénaux; RSV 312.03.1]), seront mis à la charge de R.G.________, qui a conclu au rejet du recours et qui succombe (art. 428 al. 1 CPP). S’agissant des dépens réclamés par les recourants, il appartiendra le cas échéant à ces derniers d’adresser à la fin de la procédure – pour autant que les conditions d’une indemnité selon l’art. 433 al. 1 CPP soient alors remplies – leurs prétentions à l’autorité pénale compétente selon l’art. 433 al. 2 CPP (CREP 16 avril 2013/279 c. 4 et les références citées). Par ces motifs, la Chambre des recours pénale, statuant à huis clos, prononce : I. Les recours sont admis. II. L’ordonnance du 29 janvier 2014 est annulée. III. Les frais de la procédure de recours, par 990 fr. (neuf cent nonante francs), sont mis à la charge de R.G.________. IV. Le présent arrêt est exécutoire. Le président :               La greffière : Du L'arrêt qui précède, dont la rédaction a été approuvée à huis clos, est notifié, par l'envoi d'une copie complète, à : - M. Laurent Maire, avocat (pour I.________), - Mme Lisa Locca, avocate (pour V.________ et A.________), - M. Jean-David Pelot, avocat (pour R.G.________), - M. Filippo Ryter, avocat (pour E.________), - M. Benjamin Borsodi, avocat (pour T.________, O.________, H.________, J.________, D.________ et K.________), - M. Cedric Berger, avocat (pour S.________), - B.________SA, - Ministère public central; et communiqué à : ‑ M. le Procureur du Ministère public central, division entraide, criminalité économique et informatique, - Registre foncier de Martigny,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