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371 vom 20. März 2014</w:t>
      </w:r>
    </w:p>
    <w:p>
      <w:r>
        <w:t>VD Tribunal cantonal, 2014-03-20, FR</w:t>
      </w:r>
    </w:p>
    <w:p>
      <w:r>
        <w:rPr>
          <w:b/>
        </w:rPr>
        <w:t xml:space="preserve">Quelle: </w:t>
      </w:r>
      <w:r>
        <w:t>https://mcp.opencaselaw.ch/entscheid/vd_findinfo_D_cision___2014___371</w:t>
      </w:r>
    </w:p>
    <w:p>
      <w:r>
        <w:t>FR: VD_FINDINFO Décision / 2014 / 371 du 20 mars 2014</w:t>
      </w:r>
    </w:p>
    <w:p>
      <w:r>
        <w:t>IT: VD_FINDINFO Décision / 2014 / 371 del 20 marzo 2014</w:t>
      </w:r>
    </w:p>
    <w:p>
      <w:pPr>
        <w:pStyle w:val="Heading2"/>
      </w:pPr>
      <w:r>
        <w:t>Regeste</w:t>
      </w:r>
    </w:p>
    <w:p>
      <w:r>
        <w:t>DÉTENTION PROVISOIRE, RISQUE DE COLLUSION | 221 al. 1 let. b CPP (CH), 222 CPP (CH), 228 CPP (CH), 393 al. 1 let. c CPP (CH)</w:t>
      </w:r>
    </w:p>
    <w:p>
      <w:pPr>
        <w:pStyle w:val="Heading2"/>
      </w:pPr>
      <w:r>
        <w:t>Erwägungen</w:t>
      </w:r>
    </w:p>
    <w:p>
      <w:r>
        <w:rPr>
          <w:b/>
        </w:rPr>
        <w:t>E. 1</w:t>
      </w:r>
    </w:p>
    <w:p>
      <w:r>
        <w:t>Le prévenu peut déposer en tout temps une demande de libération de la détention provisoire au ministère public, qui transmet le dossier au Tribunal des mesures de contrainte s'il n'entend pas donner une suite favorable à la demande (art. 228 CPP [Code de procédure pénale suisse du 5 octobre 2007, RS 312.0]). La décision du Tribunal des mesures de contrainte refusant la libération de la détention provisoire peut faire l'objet d'un recours (art. 222 et 393 al. 1 let. c CPP). Celui-ci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 Kuhn/Jeanneret (éd.), Commentaire romand, Code de procédure pénale suisse, Bâle 2011, nn. 7 ss ad art. 221 CPP, pp. 1024 ss). b) En l’espèce, le 17 mars 2014, à Prilly, H.________ et G.________ ont été interpellés par la police, alors qu’ils chargeaient des motocycles à l’intérieur d’une fourgonnette stationnée devant l’immeuble dans lequel est domicilié H.________. Les contrôles ont révélé que les cinq motocycles chargés dans le véhicule étaient signalés volés. Deux autres motocycles dérobés ont été retrouvés à l’intérieur de l’immeuble en question. Le lendemain, des perquisitions ont été effectuées aux domiciles des prévenus. Ainsi, un motocycle volé, une dizaine de roues de vélos et une cinquantaine de box de cinq paquets de cigarillos d’une valeur totale de 1'250 fr. ont été retrouvés dans un local privé appartenant à H.________. Diverses pièces de motocycles, dont un cadre avec un numéro de châssis signalé volé en mars 2013, ont en outre été retrouvées au domicile de G.________. Certes, le recourant conteste son implication dans ce trafic de motocycles volés. Il prétend qu’il n’était pas au courant de la provenance délictueuse de ceux-ci. Il aurait à tort fait confiance à son beau-frère en lui mettant à disposition les clés de son local, en lui prêtant son téléphone mobile, puis en l’aidant à charger les véhicules dans la fourgonnette. Toutefois, à ce stade de l’enquête, qui n’en est qu’à ses débuts, les circonstances dans lesquelles s’est déroulée l’arrestation du recourant, ainsi que les éléments découverts lors des perquisitions, constituent des indices suffisants permettant de penser que l’intéressé est impliqué dans les faits dénoncés. Par conséquent, il existe contre le recourant des présomptions de culpabilité suffisantes.</w:t>
      </w:r>
    </w:p>
    <w:p>
      <w:r>
        <w:rPr>
          <w:b/>
        </w:rPr>
        <w:t>E. 3</w:t>
      </w:r>
    </w:p>
    <w:p>
      <w:r>
        <w:t>L’ordonnance attaquée se fonde sur le risque de collusion (art. 221 al. 1 let. b). a)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TF 1B_55/2010 du 11 mars 2010 c. 3.1 et les références citées). b) En l’espèce, des mesures d’instruction visant à identifier et interpeller les individus impliqués dans le trafic de motocycles sont actuellement en cours. Il s’agit principalement de contrôler les téléphones mobiles des prévenus, une surveillance rétroactive des raccordements utilisés par ces derniers ayant été autorisée. Le résultat des investigations – à savoir l’identification et l’interpellation des individus impliqués dans le trafic de motocycles – pourrait être compromis si le recourant venait à être remis en liberté. En effet, il est fort à craindre qu’en cas de libération, ce dernier avertisse des tiers impliqués et se concerte avec eux, en vue de faire obstacle à la manifestation de la vérité. Au vu de ce qui précède, le risque de collusion s'oppose en l’état à la levée de la détention provisoire du recourant. En outre, aucune mesure de substitution ne saurait éliminer ce risque.</w:t>
      </w:r>
    </w:p>
    <w:p>
      <w:r>
        <w:rPr>
          <w:b/>
        </w:rPr>
        <w:t>E. 4</w:t>
      </w:r>
    </w:p>
    <w:p>
      <w:r>
        <w:t>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l'espèce, H.________ est détenu depuis le 17 mars 2014, soit depuis environ cinq semaines. Compte tenu des actes qui lui sont reprochés, soit son implication dans un trafic international de motocycles, le recourant s'expose à une peine d’une durée manifestement supérieure à celle de la détention provisoire subie à ce jour, de sorte que la détention provisoire ordonnée par le premier juge respecte le principe de proportionnalité.</w:t>
      </w:r>
    </w:p>
    <w:p>
      <w:r>
        <w:rPr>
          <w:b/>
        </w:rPr>
        <w:t>E. 5</w:t>
      </w:r>
    </w:p>
    <w:p>
      <w:r>
        <w:t>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660 fr. (art. 20 al. 1 TFJP [tarif des frais judiciaires pénaux; RSV 312.03.1]), et des frais imputables à la défense d’office (art. 422 al. 1 et 2 let. a CPP), fixés à 450 fr., plus la TVA par 36 fr., soit au total 486 fr., seront mis à la charge du recourant, qui succombe (art. 428 al. 1 CPP). Le remboursement à l’Etat de l’indemnité allouée au défenseur d’office de H.________ ne sera toutefois exigible que pour autant que la situation économique de ce dernier se soit améliorée (art. 135 al. 4 CPP). Par ces motifs, la Chambre des recours pénale, statuant à huis clos, prononce : I. Le recours est rejeté. II. L’ordonnance du 11 avril 2014 est confirmée. III. L’indemnité allouée au défenseur d’office de H.________ est fixée à 486 fr. (quatre cent huitante-six francs). IV. Les frais d'arrêt, par 660 fr. (six cent soixante francs), ainsi que l’indemnité due au défenseur d’office de H.________, par 486 fr. (quatre cent huitante-six francs), sont mis à la charge de ce dernier. V. Le remboursement à l'Etat de l'indemnité allouée au chiffre III ci-dessus sera exigible pour autant que la situation économique de H.________ se soit améliorée. VI. Le présent arrêt est exécutoire. Le président :               La greffière : Du L'arrêt qui précède, dont la rédaction a été approuvée à huis clos, est notifié, par l'envoi d'une copie complète, à : - M. Marcel Paris (pour H.________),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