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360 vom 30. Januar 2014</w:t>
      </w:r>
    </w:p>
    <w:p>
      <w:r>
        <w:t>VD Tribunal cantonal, 2014-01-30, FR</w:t>
      </w:r>
    </w:p>
    <w:p>
      <w:r>
        <w:rPr>
          <w:b/>
        </w:rPr>
        <w:t xml:space="preserve">Quelle: </w:t>
      </w:r>
      <w:r>
        <w:t>https://mcp.opencaselaw.ch/entscheid/vd_findinfo_D_cision___2014___360</w:t>
      </w:r>
    </w:p>
    <w:p>
      <w:r>
        <w:t>FR: VD_FINDINFO Décision / 2014 / 360 du 30 janvier 2014</w:t>
      </w:r>
    </w:p>
    <w:p>
      <w:r>
        <w:t>IT: VD_FINDINFO Décision / 2014 / 360 del 30 gennaio 2014</w:t>
      </w:r>
    </w:p>
    <w:p>
      <w:pPr>
        <w:pStyle w:val="Heading2"/>
      </w:pPr>
      <w:r>
        <w:t>Regeste</w:t>
      </w:r>
    </w:p>
    <w:p>
      <w:r>
        <w:t>DÉCISION D'IRRECEVABILITÉ, ESCROQUERIE, ABUS DE CONFIANCE, FAUX INTELLECTUEL DANS LES TITRES, FAUX MATÉRIEL DANS LES TITRES, LOI FÉDÉRALE CONTRE LA CONCURRENCE DÉLOYALE | 138 CP, 146 CP, 251 CP,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Le recourant soutient que les éléments du dossier seraient suffisants pour ordonner l’ouverture d’une instruction pour escroquerie. a)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 et alii, Petit commentaire du Code pénal, Bâle 2012, n. 1 ad. art. 146 CP, p. 831).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[éd.], op. cit., n. 12 ad art. 146 CP). b) En l'espèce, il ressort des pièces produites au dossier que S.________ n’aurait pas pleinement honoré le contrat de reprise de cabinet médical conclu avec le recourant le 7 août 2012 (P. 5/2 et P. 5 du bordereau produit à l'appui du recours). Rien ne permet cependant d'affirmer qu'en signant cette convention, le prévenu aurait astucieusement trompé son cocontractant. Il s’agit bien plutôt d’une affaire relevant du droit civil, le grief du recourant concernant à l’évidence exclusivement la problématique de l’inexécution contractuelle. C'est donc à bon droit que le Procureur a retenu que les éléments constitutifs de l'infraction d'escroquerie n'étaient pas réalisés.</w:t>
      </w:r>
    </w:p>
    <w:p>
      <w:r>
        <w:rPr>
          <w:b/>
        </w:rPr>
        <w:t>E. 4</w:t>
      </w:r>
    </w:p>
    <w:p>
      <w:r>
        <w:t>Le recourant soutient que le comportement de S.________ serait constitutif d’abus de confiance. a) En vertu de l’art. 138 ch. 1 CP (Code pénal suisse du 21 décembre 1937; RS 311.0),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(ATF 121 IV 23 c. 1c; ATF 119 IV 127 c.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 2.1 et les arrêts cités). Du point de vue subjectif, l'auteur doit avoir agi intentionnellement et dans un dessein d'enrichissement illégitime. b) En l'espèce, il doit être d'emblée constaté qu'aucune valeur patrimoniale n'a été confiée au Dr  S.________. Le recourant a certes versé une somme de 190'000 fr. à ce dernier, mais ce versement a été opéré dans le cadre du contrat de reprise du cabinet médical (P. 5/2 et P. 5 du bordereau produit à l'appui du recours). Les faits dénoncés par le recourant relèvent dès lors de la problématique de l’inexécution contractuelle, qui ressortit, comme déjà relevé, au droit civil. L'ordonnance du Ministère public échappe à la critique sur ce point également.</w:t>
      </w:r>
    </w:p>
    <w:p>
      <w:r>
        <w:rPr>
          <w:b/>
        </w:rPr>
        <w:t>E. 5</w:t>
      </w:r>
    </w:p>
    <w:p>
      <w:r>
        <w:t>Le recourant soutient qu’il existerait des soupçons suffisants pour ordonner l’ouverture d’une instruction pour faux dans les titres. a)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l’aspect subjectif, le faux dans les titres est une infraction intentionnelle, le dol éventuel étant suffisant. L'art. 251 CP exige de surcroît un dessein spécial, qui peut se présenter sous deux formes alternatives, soit le dessein de nuire ou le dessein d'obtenir un avantage illicite (Corboz, op. cit., vol. II, nn. 171 ss ad art. 251 CP). S'agissant des éléments objectifs de l'infraction, sont notamment des titres tous les écrits destinés et propres à prouver un fait ayant une portée juridique (cf. art. 110 ch. 4 CP). b) En l'espèce, l'analyse des comptes et statistiques du logiciel de facturation effectuée le</w:t>
      </w:r>
    </w:p>
    <w:p>
      <w:r>
        <w:rPr>
          <w:b/>
        </w:rPr>
        <w:t>E. 6</w:t>
      </w:r>
    </w:p>
    <w:p>
      <w:r>
        <w:t>Le recourant soutient que le comportement de S.________ serait constitutif d'infraction à la LCD. Or, comme l'a retenu à juste titre que le Ministère public, la LCD n'est pas applicable au cas d'espèce, dans la mesure où les parties sont liées par un rapport contractuel et ne sont donc pas concurrentes (cf. art. 2 LCD).</w:t>
      </w:r>
    </w:p>
    <w:p>
      <w:r>
        <w:rPr>
          <w:b/>
        </w:rPr>
        <w:t>E. 7</w:t>
      </w:r>
    </w:p>
    <w:p>
      <w:r>
        <w:t>Sur le vu de ce qui précède, le recours doit être admis, l'ordonnance de classement du 31 octobre 2013 annulée et le dossier de la cause renvoyé au Ministère public de l'arrondissement de Lausanne pour qu'il procède dans le sens des considérants, puis rende une nouvelle décision. S'agissant des dépens réclamés par le recourant, il lui appartiendra de faire valoir ses prétentions à la fin de la procédure, auprès de l'autorité pénale compétente selon l'art. 433 al. 2 CPP (CREP 16 avril 2013/279 c. 4 et les réf. cit.). Les frais de la procédure de recours, constitués en l’espèce du seul émolument d'arrêt, par 880 fr. (art. 20 al. 1 TFJP [Tarif des frais judiciaires pénaux du 28 septembre 2010; RSV 312.03.1]), seront laissés à la charge de l'Etat (art. 428 al. 4 CPP). Par ces motifs, la Chambre des recours pénale, statuant à huis clos, prononce : I. Le recours est admis. II. L'ordonnance du 31 octobre 2013 est annulée. III. Le dossier de la cause est renvoyé au Procureur de l’arrondissement de Lausanne pour qu'il procède dans le sens des considérants, puis rende une nouvelle décision. IV. Les frais d'arrêt, par 880 fr. (huit cent huitante francs), sont laissés à la charge de l'Etat. V. Le présent arrêt est exécutoire. Le président :               La greffière : Du L'arrêt qui précède, dont la rédaction a été approuvée à huis clos, est notifié, par l'envoi d'une copie complète, à : - Mme Mireille Loroch, avocate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