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358 vom 27. März 2014</w:t>
      </w:r>
    </w:p>
    <w:p>
      <w:r>
        <w:t>VD Tribunal cantonal, 2014-03-27, FR</w:t>
      </w:r>
    </w:p>
    <w:p>
      <w:r>
        <w:rPr>
          <w:b/>
        </w:rPr>
        <w:t xml:space="preserve">Quelle: </w:t>
      </w:r>
      <w:r>
        <w:t>https://mcp.opencaselaw.ch/entscheid/vd_findinfo_D_cision___2014___358</w:t>
      </w:r>
    </w:p>
    <w:p>
      <w:r>
        <w:t>FR: VD_FINDINFO Décision / 2014 / 358 du 27 mars 2014</w:t>
      </w:r>
    </w:p>
    <w:p>
      <w:r>
        <w:t>IT: VD_FINDINFO Décision / 2014 / 358 del 27 marzo 2014</w:t>
      </w:r>
    </w:p>
    <w:p>
      <w:pPr>
        <w:pStyle w:val="Heading2"/>
      </w:pPr>
      <w:r>
        <w:t>Regeste</w:t>
      </w:r>
    </w:p>
    <w:p>
      <w:r>
        <w:t>PRESCRIPTION, CLASSEMENT DE LA PROCÉDURE | 97 al. 1 let. c CP, 98 CP</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En l’occurrence, on ignore quand l’ordonnance attaquée est véritablement parvenue à son destinataire, de même d’ailleurs que le cheminement réel effectué par l’envoi adressé à A.________ en courrier B le 15 janvier 2014, après son approbation par le Procureur général. En l’absence de toute preuve de notification de l’ordonnance, on peut considérer qu’elle est réputée avoir été reçue le 29 janvier 2014, comme l’affirme le recourant, tout en soulignant qu’on peut tout même reprocher à ce dernier de ne pas avoir communiqué sa nouvelle adresse au Ministère public, alors qu’il avait lui-même déposé une plainte auprès de cette autorité. Interjeté le 10 février 2014, le recours a ainsi été déposé en temps utile auprès de l’autorité compétente, par la partie plaignante qui a qualité pour recourir (art. 382 al. 1 CPP). Il est donc recevable.</w:t>
      </w:r>
    </w:p>
    <w:p>
      <w:r>
        <w:rPr>
          <w:b/>
        </w:rPr>
        <w:t>E. 2</w:t>
      </w:r>
    </w:p>
    <w:p>
      <w:r>
        <w:t>a) Selon l'art. 319 al. 1 CPP, le ministère public ordonne le classement de tout ou partie de la procédure notamment lorsqu'il est établi que certaines conditions à l'ouverture de l'action pénale ne peuvent pas être remplies ou que des empêchements de procéder sont apparus (let. d).  Tel est en particulier le cas lorsque la prescription de l’action pénale est atteinte (Grädel/Heiniger, in : Niggli/Heer/Wiprächtiger [éd.], Basler Kommentar, Schweizerische Strafprozessordnung, Jugendstrafprozessordnung, Bâle 2011, n. 15 ad art. 319 CPP). b) Le recourant fait grief au procureur d’avoir attendu le délai de prescription pour prononcer le classement de la procédure alors qu’il avait tout loisir d’ordonner l’ouverture d’une enquête dès réception de la plainte. Il reproche aussi au magistrat instructeur de ne pas avoir requalifié les infractions commises, notamment en retenant, le cas échéant, les infractions d’exposition (art. 127 CP [Code pénal suisse du 21 décembre 1937, RS 311.0]), voire de lésions corporelles graves (art. 122 CP). Il ne motive cependant pas cette affirmation. c) L’infraction visée par l'art. 127 CP est un crime (art. 10 al. 2 CP). Cette disposition réprime certaines formes de mise en danger concrète et intentionnelle de la vie ou de la santé. L’intention est réalisée, sous la forme du dol éventuel, lorsque l’auteur, poursuivant un but licite, a accepté la survenance du résultat punissable qu’il ne voulait pas. L’auteur doit cependant avoir agi en cédant à un sentiment critiquable, tel que l’égoïsme ou la recherche d’un avantage indu, qui l’a poussé à poursuivre la recherche de ce but licite malgré la possibilité de la survenance du résultat illicite (Favre/Pellet/Stoudmann in Code pénal annoté, éd. bis et ter Lausanne, 3 e éd. 2007/2011, ad art. 127 CP, n. 1.1). En l’espèce, on ne saurait considérer, au vu de l’ensemble des circonstances, que le Dr B.________ a accepté la survenance de l’accident opératoire. Certes, ce spécialiste semble s’être montré négligent en laissant pratiquer l’injection de produit anesthésiant par une infirmière et non par le médecin anesthésiste comme l’indique le protocole opératoire (P. 5/5 et P. 5/7). Cela n’est toutefois pas suffisant pour envisager l’application de l’art. 127 CP dans le cas particulier. En ce qui concerne l’art. 122 CP, dont le recourant sollicite l’application, il ne saurait entrer en ligne de compte. En effet, l’art. 122 CP décrit une infraction de nature intentionnelle, même si le dol éventuel suffit (Dupuis/Geller/ Monnier/Moreillon/Piguet/Bettex/Stoll [éd.], Petit commentaire CP, Bâle 2012, n. 17 ad art. 122 CP, p. 681). Or, comme l’a relevé le procureur, la condition de l’intention fait défaut en l’espèce et seule la négligence pourrait le cas échéant être envisagée. A cet égard, les lésions corporelles par négligence (art. 125 CP) ne peuvent donner lieu qu’au prononcé d’une peine privative de liberté de trois ans au plus ou d’une peine pécuniaire. Il s’agit donc d’un délit (art. 10 al. 3 CP), pour lequel l’action pénale se prescrit par sept ans (art. 97 al. 1 let. c CP), le délai commençant à courir à compter du jour où l’auteur a agi (art. 98 let. a CP). En l’occurrence, l’intervention chirurgicale litigieuse a eu lieu le 22 septembre 2004, de sorte que l’action pénale est en tout cas prescrite depuis le 23 septembre 2011. A cet égard, on peut encore relever qu'il était totalement illusoire pour le recourant d’espérer, dans ce type d’affaire, qu’un jugement soit rendu avant que la prescription ne soit acquise en déposant sa plainte dix mois seulement avant son échéance: l’ouverture plus rapide d’une instruction, ainsi que, le cas échéant, la mise en œuvre d’une expertise, n’y aurait rien changé.</w:t>
      </w:r>
    </w:p>
    <w:p>
      <w:r>
        <w:rPr>
          <w:b/>
        </w:rPr>
        <w:t>E. 3</w:t>
      </w:r>
    </w:p>
    <w:p>
      <w:r>
        <w:t>En définitive, c’est à juste titre que le procureur a rendu une ordonnance de classement dans le cas particulier. Manifestement mal fondé, le recours doit être rejeté, sans autres échanges d’écritures (art. 390 al. 2 CPP), et l’ordonnance du 9 janvier 2014 confirmée. Les frais de la procédure de recours, constitués en l’espèce du seul émolument d’arrêt, par 660 fr. (art. 20 al. 1 TFJP [Tarif des frais judiciaires pénaux du 28 septembre 2010, RSV 312.03.1]), seront mis à la charge du recourant, qui succombe (art. 428 al. 1 CPP). Par ces motifs, la Chambre des recours pénale, statuant à huis clos, prononce : I. Le recours est rejeté. II. L’ordonnance du 9 janvier 2014 est confirmée. III. Les frais d’arrêt, par 660 fr. (six cent soixante francs), sont mis à la charge du recourant. IV. Le présent arrêt est exécutoire. Le président :               La greffière : Du L'arrêt qui précède, dont la rédaction a été approuvée à huis clos, est notifié, par l'envoi d'une copie complète, à : - Me Razi Abderrahim, avocat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