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356 vom 7. April 2014</w:t>
      </w:r>
    </w:p>
    <w:p>
      <w:r>
        <w:t>VD Tribunal cantonal, 2014-04-07, FR</w:t>
      </w:r>
    </w:p>
    <w:p>
      <w:r>
        <w:rPr>
          <w:b/>
        </w:rPr>
        <w:t xml:space="preserve">Quelle: </w:t>
      </w:r>
      <w:r>
        <w:t>https://mcp.opencaselaw.ch/entscheid/vd_findinfo_D_cision___2014___356</w:t>
      </w:r>
    </w:p>
    <w:p>
      <w:r>
        <w:t>FR: VD_FINDINFO Décision / 2014 / 356 du 7 avril 2014</w:t>
      </w:r>
    </w:p>
    <w:p>
      <w:r>
        <w:t>IT: VD_FINDINFO Décision / 2014 / 356 del 7 aprile 2014</w:t>
      </w:r>
    </w:p>
    <w:p>
      <w:pPr>
        <w:pStyle w:val="Heading2"/>
      </w:pPr>
      <w:r>
        <w:t>Regeste</w:t>
      </w:r>
    </w:p>
    <w:p>
      <w:r>
        <w:t>GESTION DÉLOYALE, NON-LIEU | 158 CP, 310 CPP (CH)</w:t>
      </w:r>
    </w:p>
    <w:p>
      <w:pPr>
        <w:pStyle w:val="Heading2"/>
      </w:pPr>
      <w:r>
        <w:t>Erwägungen</w:t>
      </w:r>
    </w:p>
    <w:p>
      <w:r>
        <w:rPr>
          <w:b/>
        </w:rPr>
        <w:t>E. 1</w:t>
      </w:r>
    </w:p>
    <w:p>
      <w:r>
        <w:t>L’ordonnance attaquée, adressée pour notification au conseil de la plaignante, a été reçue par son destinataire le mardi 28 janvier 2014 selon le suivi des envois établi par la Poste suisse. Déposé le 7 février 2014, le recours a été interjeté dans le délai légal (art. 322 al. 2 CPP [Code de procédure pénale suisse du 5 octobre 2007; RS 312.0], applicable par renvoi de l’art. 310 al. 2 CPP, et art. 396 al. 1 CPP), contre une décision du Ministère public (art. 393 al. 1 let. a CPP), par la partie plaignante qui a qualité pour recourir (art. 382 al. 1 CPP). Interjeté de surcroît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En l’espèce, la recourante fait valoir que l’ordonnance attaquée passerait outre le fait que le nouvel administrateur unique, agissant dans le dessein de s’enrichir personnellement, respectivement de favoriser une autre société, dont il était aussi l’administrateur unique, aurait volontairement dépouillé la société de nombre d’actifs, respectivement aurait mésusé de divers éléments de patrimoine et aurait laissé des factures en souffrance, lui causant ainsi un préjudice économique. Ce faisant, elle ne se prévaut plus que d’une violation de l’art. 158 CP (Code pénal; RS 311.0). c) Aux termes de l'art. 158 ch.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l’art. 158 ch. 2 CP réprime la gestion déloyale qualifiée, dont se rend coupable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d) L’ordonnance entreprise procède notamment du motif que L.________ avait agi « en qualité de quasi-propriétaire de la société plaignante », dès lors qu’il s’était porté acquéreur de la totalité du capital-actions de P.________, dont il était de surcroît administrateur unique; partant, on ne saurait subjectivement lui reprocher d’avoir disposé des actifs sociaux à sa guise, de sorte que les actes de gestion incriminés par la plaignante ne seraient pas pénalement répréhensibles. Cette motivation est erronée. En effet, une société anonyme à un seul actionnaire ( Einmanngesellschaft ) est une personne distincte, même pour l’actionnaire unique formant à lui seul le conseil d’administration; ses biens sont donc pour celui-ci le bien d’autrui. Cette distinction est également, en principe, valable en droit pénal (ATF 117 IV 259, spéc. c. 3b, JT 1993 IV 80). Rendue sous l’empire de l’ancien droit, cette jurisprudence s’applique également au nouvel art. 158 CP (Niggli, in : Niggli/ Wiprächtiger [éd], Strafrecht II, Art. 111-392 StGB, 3 e éd., Bâle 2013, n. 16 ad art. 158 CP). Il s’ensuit, dans le cas particulier, que le fait que L.________, actionnaire minoritaire et seul administrateur de P.________, se soit porté acquéreur de la totalité du capital-actions selon un échéancier déterminé contractuellement ne faisait nullement de lui le propriétaire du patrimoine social. Il en serait du reste de même s’il avait d’ores et déjà acquis l’entier du capital-actions. Partant, les droits déduits du contrat de vente d’actions du 26 décembre 2012 n’excluent pas par principe que l’acquéreur ait pu se rendre coupable de gestion déloyale au préjudice de la société, respectivement, le cas échéant, qu’il ait commis d’autres infractions contre le patrimoine. Pour le reste, les faits dénoncés sont de nature à tomber sous le coup de la gestion déloyale (cf. recours, ch. 11 p. 2 et ch. 22 p. 4). De surcroît, les pièces produites à l’appui de la plainte (P. 4/2/8 à 21, notamment) comportent suffisamment d’indices dans ce sens pour justifier l’ouverture d’une instruction pénale contre L.________. Les conditions posées par l’art. 310 al. 1 let. a CPP n’étant ainsi pas réunies, c’est à tort que le Procureur n’a pas instruit les faits plus avant.</w:t>
      </w:r>
    </w:p>
    <w:p>
      <w:r>
        <w:rPr>
          <w:b/>
        </w:rPr>
        <w:t>E. 3</w:t>
      </w:r>
    </w:p>
    <w:p>
      <w:r>
        <w:t>Il résulte de ce qui précède que le recours doit être admis, l’ordonnance de non-entrée en matière du 20 janvier 2014 annulée et la cause renvoyée au Ministère public pour qu’il ouvre une instruction. La recourante obtenant gain de cause, les frais d'arrêt, par 770 fr. (art. 20 al. 1 TFJP [tarif des frais judiciaires pénaux du 28 septembre 2010;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20 janvier 2014 est annulée et le dossier de la cause est renvoyé au Ministère public central, division entraide, criminalité économique et informatique, pour qu'il procède dans le sens des considérants. III. Les frais d'arrêt, par 770 fr. (sept cent septante francs), sont laissés à la charge de l'Etat. IV. Le présent arrêt est exécutoire. Le président :               Le greffier : Du L'arrêt qui précède, dont la rédaction a été approuvée à huis clos, est notifié, par l'envoi d'une copie complète, à : - Me Jean-Philippe Heim, avocat (pour P.________),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