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353 vom 25. April 2014</w:t>
      </w:r>
    </w:p>
    <w:p>
      <w:r>
        <w:t>VD Tribunal cantonal, 2014-04-25, FR</w:t>
      </w:r>
    </w:p>
    <w:p>
      <w:r>
        <w:rPr>
          <w:b/>
        </w:rPr>
        <w:t xml:space="preserve">Quelle: </w:t>
      </w:r>
      <w:r>
        <w:t>https://mcp.opencaselaw.ch/entscheid/vd_findinfo_D_cision___2014___353</w:t>
      </w:r>
    </w:p>
    <w:p>
      <w:r>
        <w:t>FR: VD_FINDINFO Décision / 2014 / 353 du 25 avril 2014</w:t>
      </w:r>
    </w:p>
    <w:p>
      <w:r>
        <w:t>IT: VD_FINDINFO Décision / 2014 / 353 del 25 aprile 2014</w:t>
      </w:r>
    </w:p>
    <w:p>
      <w:pPr>
        <w:pStyle w:val="Heading2"/>
      </w:pPr>
      <w:r>
        <w:t>Regeste</w:t>
      </w:r>
    </w:p>
    <w:p>
      <w:r>
        <w:t>CONTRAINTE SEXUELLE, CLASSEMENT DE LA PROCÉDURE, IN DUBIO PRO DURIORE, IN DUBIO PRO REO, PROCÉDURE PÉNALE DES MINEURS | 189 CP, 319 CPP (CH)</w:t>
      </w:r>
    </w:p>
    <w:p>
      <w:pPr>
        <w:pStyle w:val="Heading2"/>
      </w:pPr>
      <w:r>
        <w:t>Erwägungen</w:t>
      </w:r>
    </w:p>
    <w:p>
      <w:r>
        <w:rPr>
          <w:b/>
        </w:rPr>
        <w:t>E. 1</w:t>
      </w:r>
    </w:p>
    <w:p>
      <w:r>
        <w:t>Le recours est interjeté contre une ordonnance de classement rendue par la Vice-présidente du Tribunal des mineurs, soit par le juge des mineurs (art. 3 al. 1 et 39 al. 1 PPMin [loi fédérale sur la procédure pénale applicable aux mineurs du 20 mars 2009; RS 312.1]; 319 al. 1 et 393 CPP [Code de procédure pénale suisse du 5 octobre 2007; RS 312.0]). Déposé dans le délai légal de dix jours (art. 322 al. 2 CPP) par la plaignante, qui a qualité pour recourir (art. 382 al. 1 CPP), le recours est recevable.</w:t>
      </w:r>
    </w:p>
    <w:p>
      <w:r>
        <w:rPr>
          <w:b/>
        </w:rPr>
        <w:t>E. 2</w:t>
      </w:r>
    </w:p>
    <w:p>
      <w:r>
        <w:t>a) 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w:t>
      </w:r>
    </w:p>
    <w:p>
      <w:r>
        <w:rPr>
          <w:b/>
        </w:rPr>
        <w:t>E. 3</w:t>
      </w:r>
    </w:p>
    <w:p>
      <w:r>
        <w:t>a)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l'art. 190 al. 1 CP, se rend coupable de viol, celui qui, notamment en usant de menace ou de violence, en exerçant sur sa victime des pressions d'ordre psychique ou en la mettant hors d'état de résister, aura contraint une personne de sexe féminin à subir l'acte sexuel.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non souhaité ne saurait être qualifié de contrainte sexuelle (Esther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131 IV 107 c. 2.4 ; ATF 128 IV 97 c. 2b/aa, JT 2004 IV 123) et atteindre l'intensité d'un acte de violence ou d'une menace (ATF 128 IV 97, précité, c. 3a). Ainsi, l’infériorité cognitive et la dépendance émotionnelle et sociale – en particulier chez les enfants et les adolescents – peuvent induire une pression psychique extraordinaire et, partant, une soumission comparable à une contrainte physique, les rendant incapables de s’opposer à des atteintes sexuelles. La jurisprudence parle de « violence structurelle » pour désigner cette forme de contrainte d’ordre psychique commise par l’instrumentalisation de liens sociaux (cf. ATF 131 IV 107 c. 2.2 ; ATF 128 IV 97 c. 2, JT 2004 IV 123 ; ATF 124 IV 154, JT 2000 IV 134 ; TF 6S.450/2006 du 20 février 2007 c. 7.1 [fr.]). b) En l’espèce, la recourante ne fait pas valoir que les garçons l’auraient menacée ni qu’ils auraient exercé des violences physiques contre elle. Il s’agit dès lors d’examiner si, comme elle le soutient, il existe des soupçons suffisants de pressions d’ordre psychologique et d’absence de consentement de sa part. aa) En ce qui concerne les éventuelles pressions psychologiques, on relève que la recourante s’est retrouvée avec deux garçons qu’elle ne connaissait pas vraiment, plus âgés qu’elle d’un et deux ans, dans la chambre de F.________ dont la porte, aux dires de S.________, avait été fermée au moyen d’un meuble (P. 401, p. 2). F.________ a indiqué quant à lui avoir cherché un moyen de verrouiller la porte. Les prénommés avaient mauvaise réputation (P. 409, p. 3), passaient, de leur propre aveu et aux yeux de tiers, pour des caïds (cf. P. 411, p. 2, P. 414, p. 4 et P. 417, p. 3), pour des « grandes gueules » et des « lovers » (P. 417, p. 3). En outre, il ressort des déclarations de M.________ que lors d’une conversation qu’il avait eue la veille des faits avec F.________, celui-ci lui a proposé de les rejoindre le lendemain en lui disant : viens s’il y a moyen, on pourra te « faire tourner » (P. 412, p. 3). Il paraît donc clair qu’il devait venir à midi chez F.________ pour avoir des relations sexuelles avec la fille (P. 412, p. 2). Les garçons, qui s’étaient munis de préservatifs, semblaient ainsi avoir prévu d’avoir des relations sexuelles avec la victime, auxquelles celle-ci ne s’attendait pas, puisque, à ses dires, il était uniquement prévu d’aller manger à la Migros et qu’elle était montée chez F.________ en pensant qu’il devait seulement y récupérer des affaires (P. 406, p. 2). Enfin, la victime a expliqué que malgré son refus, les garçons avaient insisté et qu’elle avait fini par céder à leurs instances ; elle avait peur d’eux et ne pouvait pas s’enfuir ; elle se sentait comme dans une bulle, avait l’impression qu’elle ne savait pas ce qui se passait et ne pouvait rien faire pour l’empêcher (P. 406, pp. 2-3). Par la suite, elle s’est retrouvée avec trois garçons de plus dans la cave, dont les portes avaient été refermées derrière eux (cf. P. 403, p. 4). En outre, selon L.________, il y avait à cet endroit un chien de type pitbull (P. 414, p. 3). Compte tenu de ces circonstances, jointes au caractère « influençable, voire un peu faible » de la recourante, tel qu’observé par les inspecteurs (P. 505, p. 21), à son jeune âge et à l’état de « dissociation » dans lequel elle se trouvait selon la Dresse J.________, il faut admettre qu’il existe des soupçons que l’intéressée ait été victime de pressions psychologiques. bb) De surcroît, si les prévenus s’accordent à dire que la recourante était consentante, leurs déclarations n’en comportent pas moins des contradictions. Ainsi, F.________ conteste (P. 416, p. 5) avoir proposé à M.________, comme celui-ci l’affirme (P. 412, p. 3), de le rejoindre pour une « tournante » le lendemain. Quant à S.________, il réfute (P. 415, p. 4) les dires de F.________ qui affirme que c’est lui qui aurait proposé d’emmener le recourante chez lui (P. 416, p. 2). Les déclarations de F.________, qui soutient que la victime aurait pris l’initiative de relations sexuelles (P. 416, p. 3), ne paraissent pas cadrer avec la déposition du témoin K.________ indiquant qu’une telle conduite ressemblait bien peu à la recourante (P. 417, p. 3). Il en va de même des propos de S.________ relatifs à la prétendue réputation de « pute » de la victime (P. 415, p. 2). Au reste, la Dresse C.________, lors de l’examen gynécologique du 21 mai 2010, a constaté des lésions compatibles avec une défloration récente (P. 60119, p. 3). F.________ maintient encore que c’est la recourante qui voulait retourner chez lui pour avoir des relations sexuelles, mais que la crainte que sa mère ne s’y trouve l’avait déterminé à aller à la cave (P. 416, p. 5), ce qui est en contradiction avec les déclarations de M.________, qui a admis avoir pris l’initiative avec S.________ de descendre aux sous-sol (P. 412, p. 3). cc) En ce qui concerne le consentement, ce n’est que le 2 juillet 2012 que la recourante a déclaré expressément qu’elle n’était pas d’accord de participer à des actes à caractère sexuel avec les garçons, que ce soit dans la chambre de F.________ ou dans la cave de son immeuble. Certes, le rapport de police du 10 août 2010 relate que l’intéressée a entretenu une « relation sexuelle vaginale et anale, consentie » (P. 502). Ce rapport ne fait toutefois que résumer les déclarations de la victime, recueillies à son domicile le 24 mai 2010, et qui elles-mêmes confirmaient celles du 21 mai 2010. On peut dès lors se demander, à l’instar de la recourante, si les auteurs de cet écrit, n’ayant pas envisagé la possibilité de pressions psychologiques, notion dont l’appréhension est malaisée, n’ont pas déduit le consentement de la victime de la seule absence d’acte de violence physique et de menaces. La Dresse J.________ a indiqué que si la recourante n’a pas pu dire tout de suite, dès ses premières auditions, qu’elle n’était pas d’accord de participer aux actes incriminés, c’est parce qu’elle se trouvait, pendant quelques jours après les faits, dans un état dissociatif, état que décrivait fort bien, du reste, le témoin K.________ dans sa déposition du 25 mars 2013 (P. 417). Elle a expliqué que la dissociation est un système de défense qui permet au sujet de se couper de ses réaction cognitives et émotionnelles post-traumatiques pour ne pas éprouver de trop vives souffrances à la suite de l’abus. Elle a précisé que « cette défense s’est écroulée » le 21 mai 2010 lorsque la victime s’est retrouvée au CHUV face à la gynécologue C.________, laquelle a constaté que la jeune fille était très touchée et avait de la peine à parler (P. 60119 et P. 60124, p. 2). Cet état particulier pourrait également expliquer que la recourante, suivant la déposition du témoin K.________, ait rencontré les garçons après les faits et qu’elle ait pu « rigoler » avec eux face à ses amies. Quant au texto adressé par la recourante à L.________ le soir des faits, il convient d’en relativiser la valeur probante en ce qui concerne le consentement supposé de la victime. Il est connu en effet que les adolescents envoient de nombreux messages à toute vitesse ou de manière irréfléchie, souvent sans peser les mots employés, lesquels ne reflètent ainsi pas toujours leurs pensées ou leurs sentiments profonds. Par ailleurs, on ignore le message du prénommé qui a provoqué la réponse de la recourante, réponse demeurée sans suite. Au vu de ce qui précède, la cour de céans estime qu’il existe des indices suffisants de l’absence de consentement de la recourante. Autre est la question de savoir si cette absence de consentement était reconnaissable. Cela revient à examiner l’élément subjectif de l’infraction, ce qui relève du juge du fond. c) En résumé, il y a non seulement contradiction entre les preuves, mais il existe contre L.________ des soupçons suffisants, au sens de l’art. 324 al. 1 CPP. Les conditions pour engager l’accusation devant le Tribunal de mineurs du chef de contrainte sexuelle sont dès lors réunies (cf. art. 33 al. 1 PPMin et 4 al. 1 let. a PPMin-VD). Le juge des mineurs transmettra donc le dossier au Ministère public des mineurs avec sa proposition de mise en accusation devant le Tribunal des mineurs, conformément à l’art. 27 PPMin-VD. Dans cette perspective de renvoi en jugement, le juge des mineurs joindra les cinq procédures ouvertes dans cette affaire. La loi n’y fait pas obstacle (art. 33 al. 2 a contrario PPMin) et il n’y a pas non plus à ce stade de raisons objectives qui s’y opposent (cf. art. 30 CPP). Enfin, il appartiendra à l’autorité de jugement, si elle l’estime utile, de procéder lors des débats à l’audition de la Dresse J.________ notamment sur la question de l’état de dissociation.</w:t>
      </w:r>
    </w:p>
    <w:p>
      <w:r>
        <w:rPr>
          <w:b/>
        </w:rPr>
        <w:t>E. 4</w:t>
      </w:r>
    </w:p>
    <w:p>
      <w:r>
        <w:t>En définitive, le recours doit être admis, l'ordonnance de classement annulée et le dossier de la cause renvoyé à la Vice-présidente du Tribunal des mineurs pour qu’elle procède dans le sens des considérants qui précèdent. Les frais d'arrêt, par 770 fr. (art. 20 al. 2 TFIP [tarif des frais de procédure et indemnités en matière pénale; RSV 312.03.1]), seront laissés à la charge de l’Etat (art. 428 al. 4 CPP, applicable par renvoi de l’art. 44 al. 2 PPMin). Par ces motifs, la Chambre des recours pénale, statuant à huis clos, prononce : I. Le recours est admis. II. L’ordonnance du 9 décembre 2013 classant la procédure pénale dirigée contre L.________ pour contrainte sexuelle est annulée. III. Le dossier de la cause est renvoyé à la Vice-présidente du Tribunal des mineurs pour qu’elle procède dans le sens des considérants. IV. Les frais d’arrêt, par 770 fr. (sept cent septante francs), sont laissés à la charge de l’Etat. V. Le présent arrêt est exécutoire. Le président :               Le greffier : Du L'arrêt qui précède, dont la rédaction a été approuvée à huis clos, est notifié, par l'envoi d'une copie complète, à : - M. Ludovic Tirelli, avocat (pour B.N.________), - M. L.________, - Ministère public central, et communiqué à : - Mme la Vice-présidente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