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352 vom 25. April 2014</w:t>
      </w:r>
    </w:p>
    <w:p>
      <w:r>
        <w:t>VD Tribunal cantonal, 2014-04-25, FR</w:t>
      </w:r>
    </w:p>
    <w:p>
      <w:r>
        <w:rPr>
          <w:b/>
        </w:rPr>
        <w:t xml:space="preserve">Quelle: </w:t>
      </w:r>
      <w:r>
        <w:t>https://mcp.opencaselaw.ch/entscheid/vd_findinfo_D_cision___2014___352</w:t>
      </w:r>
    </w:p>
    <w:p>
      <w:r>
        <w:t>FR: VD_FINDINFO Décision / 2014 / 352 du 25 avril 2014</w:t>
      </w:r>
    </w:p>
    <w:p>
      <w:r>
        <w:t>IT: VD_FINDINFO Décision / 2014 / 352 del 25 aprile 2014</w:t>
      </w:r>
    </w:p>
    <w:p>
      <w:pPr>
        <w:pStyle w:val="Heading2"/>
      </w:pPr>
      <w:r>
        <w:t>Regeste</w:t>
      </w:r>
    </w:p>
    <w:p>
      <w:r>
        <w:t>CONTRAINTE SEXUELLE, VIOL, IN DUBIO PRO DURIORE, IN DUBIO PRO REO, CLASSEMENT DE LA PROCÉDURE | 189 CP, 319 al. 1 CPP (CH)</w:t>
      </w:r>
    </w:p>
    <w:p>
      <w:pPr>
        <w:pStyle w:val="Heading2"/>
      </w:pPr>
      <w:r>
        <w:t>Erwägungen</w:t>
      </w:r>
    </w:p>
    <w:p>
      <w:r>
        <w:rPr>
          <w:b/>
        </w:rPr>
        <w:t>E. 1</w:t>
      </w:r>
    </w:p>
    <w:p>
      <w:r>
        <w:t>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Z.________ dont la porte, aux dires de B.________, avait été fermée au moyen d’un meuble (P. 401, p. 2). Z.________ a indiqué quant à lui avoir cherché un moyen de verrouiller la porte. Les prénommés avaient mauvaise réputation (P. 409, p. 3), passaient, de leur propre aveu et aux yeux de tiers, pour des caïds (cf. P. 411, p. 2, P. 414, p. 4 et P. 417, p. 3), pour des « grandes gueules » et des « lovers » (P. 417, p. 3). En outre, il ressort des déclarations de R.________ que lors d’une conversation qu’il avait eue la veille des faits avec Z.________, celui-ci lui a proposé de les rejoindre le lendemain en lui disant : viens s’il y a moyen, on pourra te « faire tourner » (P. 412, p. 3). Il paraît donc clair qu’il devait venir à midi chez Z.________ pour avoir des relations sexuelles avec la fille (P. 412, p. 2). Les garçons, qui s’étaient munis de préservatifs, semblaient ainsi avoir prévu d’avoir des relations sexuelles avec la victime, auxquelles celle-ci ne s’attendait pas, puisque, à ses dires, il était uniquement prévu d’aller manger à la Migros et qu’elle était montée chez Z.________ en pensant qu’il devait seulement y récupérer des affaires (P. 406, p. 2).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 406, pp. 2-3). Par la suite, elle s’est retrouvée avec trois garçons de plus dans la cave, dont les portes avaient été refermées derrière eux (cf. P. 403, p. 4). En outre, selon T.________, il y avait à cet endroit un chien de type pitbull (P. 414, p. 3). Compte tenu de ces circonstances, jointes au caractère « influençable, voire un peu faible » de la recourante, tel qu’observé par les inspecteurs (P. 505, p. 21), à son jeune âge et à l’état de « dissociation » dans lequel elle se trouvait selon la Dresse N.________, il faut admettre qu’il existe des soupçons que l’intéressée ait été victime de pressions psychologiques. bb) De surcroît, si les prévenus s’accordent à dire que la recourante était consentante, leurs déclarations n’en comportent pas moins des contradictions. Ainsi, Z.________ conteste (P. 416, p. 5) avoir proposé à R.________, comme celui-ci l’affirme (P. 412, p. 3), de le rejoindre pour une « tournante » le lendemain. Quant à B.________, il réfute (P. 415, p. 4) les dires de Z.________ qui affirme que c’est lui qui aurait proposé d’emmener le recourante chez lui (P. 416, p. 2). Les déclarations de Z.________, qui soutient que la victime aurait pris l’initiative de relations sexuelles (P. 416, p. 3), ne paraissent pas cadrer avec la déposition du témoin C.________ indiquant qu’une telle conduite ressemblait bien peu à la recourante (P. 417, p. 3). Il en va de même des propos de B.________ relatifs à la prétendue réputation de « pute » de la victime (P. 415, p. 2). Au reste, la Dresse K.________, lors de l’examen gynécologique du 21 mai 2010, a constaté des lésions compatibles avec une défloration récente (P. 60119, p. 3). Z.________ maintient encore que c’est la recourante qui voulait retourner chez lui pour avoir des relations sexuelles, mais que la crainte que sa mère ne s’y trouve l’avait déterminé à aller à la cave (P. 416, p. 5), ce qui est en contradiction avec les déclarations de R.________, qui a admis avoir pris l’initiative avec B.________ de descendre aux sous-sol (P. 412, p. 3). cc) En ce qui concerne le consentement, ce n’est que le 2 juillet 2012 que la recourante a déclaré expressément qu’elle n’était pas d’accord de participer à des actes à caractère sexuel avec les garçons, que ce soit dans la chambre de Z.________ ou dans la cave de son immeuble. Certes, le rapport de police du 10 août 2010 relate que l’intéressée a entretenu une « relation sexuelle vaginale et anale, consentie » (P. 502).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N.________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C.________ dans sa déposition du 25 mars 2013 (P. 417).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K.________, laquelle a constaté que la jeune fille était très touchée et avait de la peine à parler (P. 60119 et P. 60124, p. 2). Cet état particulier pourrait également expliquer que la recourante, suivant la déposition du témoin C.________, ait rencontré les garçons après les faits et qu’elle ait pu « rigoler » avec eux face à ses amies. Quant au texto adressé par la recourante à T.________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R.________ des soupçons suffisants, au sens de l’art. 324 al. 1 CPP. Les conditions pour engager l’accusation devant le Tribunal de mineurs du chef de contrainte sexuelle sont dès lors réunies (cf. art. 33 al. 1 PPMin et 4 al. 1 let. a PPMin-VD). Le juge des mineurs transmettra donc le dossier au Ministère public des mineurs avec sa proposition de mise en accusation devant le Tribunal des mineurs,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N.________ notamment sur la question de l’état de dissociation.</w:t>
      </w:r>
    </w:p>
    <w:p>
      <w:r>
        <w:rPr>
          <w:b/>
        </w:rPr>
        <w:t>E. 4</w:t>
      </w:r>
    </w:p>
    <w:p>
      <w:r>
        <w:t>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laissés à la charge de l’Etat (art. 428 al. 4 CPP, applicable par renvoi de l’art. 44 al. 2 PPMin). Par ces motifs, la Chambre des recours pénale, statuant à huis clos, prononce : I. Le recours est admis. II. L’ordonnance du 9 décembre 2013 classant la procédure pénale dirigée contre R.________ pour contrainte sexuelle est annulée. III. Le dossier de la cause est renvoyé à la Vice-présidente du Tribunal des mineurs pour qu’elle procède dans le sens des considérants.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Ludovic Tirelli, avocat (pour B.W.________), - M. R.________,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