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349 vom 12. März 2014</w:t>
      </w:r>
    </w:p>
    <w:p>
      <w:r>
        <w:t>VD Tribunal cantonal, 2014-03-12, FR</w:t>
      </w:r>
    </w:p>
    <w:p>
      <w:r>
        <w:rPr>
          <w:b/>
        </w:rPr>
        <w:t xml:space="preserve">Quelle: </w:t>
      </w:r>
      <w:r>
        <w:t>https://mcp.opencaselaw.ch/entscheid/vd_findinfo_D_cision___2014___349</w:t>
      </w:r>
    </w:p>
    <w:p>
      <w:r>
        <w:t>FR: VD_FINDINFO Décision / 2014 / 349 du 12 mars 2014</w:t>
      </w:r>
    </w:p>
    <w:p>
      <w:r>
        <w:t>IT: VD_FINDINFO Décision / 2014 / 349 del 12 marzo 2014</w:t>
      </w:r>
    </w:p>
    <w:p>
      <w:pPr>
        <w:pStyle w:val="Heading2"/>
      </w:pPr>
      <w:r>
        <w:t>Regeste</w:t>
      </w:r>
    </w:p>
    <w:p>
      <w:r>
        <w:t>PROCÈS DEVENU SANS OBJET, CAS DE SÉQUESTRE, RADIATION DU RÔLE | 393 CPP (CH)</w:t>
      </w:r>
    </w:p>
    <w:p>
      <w:pPr>
        <w:pStyle w:val="Heading2"/>
      </w:pPr>
      <w:r>
        <w:t>Erwägungen</w:t>
      </w:r>
    </w:p>
    <w:p>
      <w:r>
        <w:rPr>
          <w:b/>
        </w:rPr>
        <w:t>E. 1</w:t>
      </w:r>
    </w:p>
    <w:p>
      <w:r>
        <w:t>Une instruction a été ouverte par le Ministère public central, division affaires spéciales, contrôle et mineurs, à l’encontre de B.________ pour violation grave des règles de la circulation routière. Par ordonnance du 12 mars 2014, le Procureur a ordonné le séquestre du véhicule [...] appartenant à l’intéressé, en vue d’une éventuelle confiscation au sens de l’art. 90a LCR. Le 21 mars 2014, B.________, par l’entremise de son défenseur d’office, a recouru auprès de la Chambre des recours pénales contre cette ordonnance, en concluant à son annulation et à la levée du séquestre ordonné.</w:t>
      </w:r>
    </w:p>
    <w:p>
      <w:r>
        <w:rPr>
          <w:b/>
        </w:rPr>
        <w:t>E. 2</w:t>
      </w:r>
    </w:p>
    <w:p>
      <w:r>
        <w:t>B.________ a été entendu par le Procureur le 9 avril 2014. Par ordonnance du même jour, le Ministère public a ordonné la levée du séquestre contesté et la restitution du véhicule [...] à l’intéressé. Partant, le recours formé par B.________ est devenu sans objet. Il convient dès lors de rayer la cause du rôle.</w:t>
      </w:r>
    </w:p>
    <w:p>
      <w:r>
        <w:rPr>
          <w:b/>
        </w:rPr>
        <w:t>E. 3</w:t>
      </w:r>
    </w:p>
    <w:p>
      <w:r>
        <w:t>L’indemnité due au défenseur d’office sera fixée à 450 fr., plus la TVA, par 36 fr., soit 486 francs. Les frais de la procédure de recours, constitués en l'espèce de l’émolument d'arrêt, par 330 fr. (art. 20 al. 1 TFJP [tarif des frais judiciaires pénaux du 28 septembre 2010; RSV 312.03.1]) ainsi que des frais imputables à la défense d’office (art. 422 al. 1 et 2 let. a CPP), fixés à 450 fr., plus la TVA, par 36 fr., soit un total de 486 fr., seront mis à la charge du recourant (art. 428 al. 2 let. c CPP). Le remboursement à l’Etat de l’indemnité allouée au défenseur d’office de B.________ ne sera toutefois exigible que pour autant que la situation économique de ce dernier se soit améliorée (art. 135 al. 3 CPP). Par ces motifs, la Chambre des recours pénale, statuant à huis clos, prononce : I. Le recours est sans objet. II. La cause est rayée du rôle. III. L'indemnité due au défenseur d'office de B.________ est fixée à 486 fr. (quatre cent huitante-six francs). IV. Les frais du présent arrêt, par 330 fr. (trois cent trente francs), et l'indemnité due au défenseur d'office de B.________, par 486 fr. (quatre cent huitante-six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Adrien Gutowski, avocat (pour B.________),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