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348 vom 14. August 2003</w:t>
      </w:r>
    </w:p>
    <w:p>
      <w:r>
        <w:t>VD Tribunal cantonal, 2003-08-14, FR</w:t>
      </w:r>
    </w:p>
    <w:p>
      <w:r>
        <w:rPr>
          <w:b/>
        </w:rPr>
        <w:t xml:space="preserve">Quelle: </w:t>
      </w:r>
      <w:r>
        <w:t>https://mcp.opencaselaw.ch/entscheid/vd_findinfo_D_cision___2014___348</w:t>
      </w:r>
    </w:p>
    <w:p>
      <w:r>
        <w:t>FR: VD_FINDINFO Décision / 2014 / 348 du 14 août 2003</w:t>
      </w:r>
    </w:p>
    <w:p>
      <w:r>
        <w:t>IT: VD_FINDINFO Décision / 2014 / 348 del 14 agosto 2003</w:t>
      </w:r>
    </w:p>
    <w:p>
      <w:pPr>
        <w:pStyle w:val="Heading2"/>
      </w:pPr>
      <w:r>
        <w:t>Regeste</w:t>
      </w:r>
    </w:p>
    <w:p>
      <w:r>
        <w:t>LIBÉRATION CONDITIONNELLE | 62 al. 1 CP, 62d CP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Le recourant conteste en premier lieu les modalités ainsi que les règles de conduite dont la libération conditionnelle de la mesure thérapeutique institutionnelle est assortie. Il s’appuie sur la décision de la Chambre des curatelles du</w:t>
      </w:r>
    </w:p>
    <w:p>
      <w:r>
        <w:rPr>
          <w:b/>
        </w:rPr>
        <w:t>E. 4</w:t>
      </w:r>
    </w:p>
    <w:p>
      <w:r>
        <w:t>En définitive, le recours, manifestement mal fondé, doit être rejeté sans autres échanges d'écritures (art. 390 al. 2 CPP) et l’ordonnance entreprise confirmée. Les frais de la procédure de recours, constitués en l’espèce de l’émolument d'arrêt, par 1’650 fr. (art. 20 al. 1 TFJP; RSV 312.03.1), et des frais imputables à la défense d’office (art. 422 al. 1 et 2 let. a CPP), fixés à 540 fr., plus 43 fr. 20 de TVA, soit un total de 583 fr. 20 ,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18 mars 2014 est confirmée. III. L'indemnité allouée au défenseur d'office de B.________ est fixée à 583 fr. 20 (cinq cent huitant-trois francs et vingt centimes). IV. Les frais d'arrêt, par 1’650 fr. (mille six cent cinquante francs), ainsi que l'indemnité due au défenseur d'office de B.________ par 583 fr. 20 (cinq cent huitante-trois francs et vingt centimes), sont mis à la charge de ce dernier. V. Le présent arrêt est exécutoire. Le président :               La greffière : Du L'arrêt qui précède, dont la rédaction a été approuvée à huis clos, est notifié, par l'envoi d'une copie complète, à : - Me Mathias Burnand, avocat (pour B.________), - Ministère public central, et communiqué à : ‑ M. le Procureur du Ministère public central, division contrôle, mineurs et affaires spéciales, - M. le Juge d'application des peines, - Office d'exécution des peines (réf. : OEP/MES/11161/AVI/CT) - Direction de l’EMS [...], - Service de la population, Secteur étrangers, - Office des tutelles et curatelles professionnelles, - M. le Juge de paix des districts du Jura – Nord vaudois et du Gros-de-Vaud, - Chambre des curatelles du Tribunal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