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344 vom 5. September 1979</w:t>
      </w:r>
    </w:p>
    <w:p>
      <w:r>
        <w:t>VD Tribunal cantonal, 1979-09-05, FR</w:t>
      </w:r>
    </w:p>
    <w:p>
      <w:r>
        <w:rPr>
          <w:b/>
        </w:rPr>
        <w:t xml:space="preserve">Quelle: </w:t>
      </w:r>
      <w:r>
        <w:t>https://mcp.opencaselaw.ch/entscheid/vd_findinfo_D_cision___2014___344</w:t>
      </w:r>
    </w:p>
    <w:p>
      <w:r>
        <w:t>FR: VD_FINDINFO Décision / 2014 / 344 du 5 septembre 1979</w:t>
      </w:r>
    </w:p>
    <w:p>
      <w:r>
        <w:t>IT: VD_FINDINFO Décision / 2014 / 344 del 5 settembre 1979</w:t>
      </w:r>
    </w:p>
    <w:p>
      <w:pPr>
        <w:pStyle w:val="Heading2"/>
      </w:pPr>
      <w:r>
        <w:t>Regeste</w:t>
      </w:r>
    </w:p>
    <w:p>
      <w:r>
        <w:t>PRÉFET, DÉCISION, DÉPENS | 357 al. 3 CPP (CH), 363 CPP (CH), 393 al. 1 let. a CPP (CH), 429 al. 1 let. a CPP (CH)</w:t>
      </w:r>
    </w:p>
    <w:p>
      <w:pPr>
        <w:pStyle w:val="Heading2"/>
      </w:pPr>
      <w:r>
        <w:t>Erwägungen</w:t>
      </w:r>
    </w:p>
    <w:p>
      <w:r>
        <w:rPr>
          <w:b/>
        </w:rPr>
        <w:t>E. 1</w:t>
      </w:r>
    </w:p>
    <w:p>
      <w:r>
        <w:t>Selon l’art. 363 al. 2 CPP, l’autorité pénale compétente en matière de contraventions qui rend une décision dans une procédure de contravention est également compétente pour rendre les décisions ultérieures. Tel est notamment le cas d’une décision statuant sur l’indemnité éventuellement due au prévenu mis au bénéfice d’une ordonnance de classement pour les dépenses occasionnées par l’exercice raisonnable de ses droits de procédure (art. 429 al. 1 let. c CPP) lorsque les prétentions n’ont pas été traitées dans la décision de première instance (cf. TF 6B_265/2012 du 10 septembre 2012, c. 2.3). De telles décisions sont susceptibles de recours selon la procédure des art. 393 ss CPP (Perrin, in: Kuhn/Jeanneret [éd.], Commentaire romand, Code de procédure pénale suisse, Bâle 2011, n. 11 ad art. 365 CPP; Moreillon/Parein-Reymond, in: Petit commentaire du Code de procédure pénale, Bâle 2013, n. 7 ad art. 363 CPP; Heer, in: Niggli/Heer/ Wiprächtiger [éd.], Basler Kommentar, Schweizerische Strafprozessordnung, Jugendstrafprozessord-nung, Bâle 2011, n. 6 ad art. 365 CPP). Interjeté dans le délai légal (art. 396 al. 1 CPP) contre une décision prise par le Préfet dans un cas prévu par le CPP (art. 393 al. 1 let. a CPP; art. 18 LVCR [loi cantonale du 25 novembre 1974 sur la circulation routière, RSV 741.01]) par une partie ayant qualité pour recourir, et satisfaisant aux conditions de forme posées par l’art. 385 al. 1 CPP, il y a lieu d’entrer en matière sur le recours. Dans la mesure où le montant auquel prétend la recourante, qui porte sur des conséquences économiques accessoires d’une décision au sens de l’art. 395 let. b CPP, est inférieur à 5'000 fr., le recours relève de la compétence du juge unique de la Chambre des recours pénale du Tribunal cantonal (art. 13 al. 2 LVCPP [loi d’introduction du code de procédure pénale suisse; RSV 312.01] ; CREP 14 décembre 2012/858).</w:t>
      </w:r>
    </w:p>
    <w:p>
      <w:r>
        <w:rPr>
          <w:b/>
        </w:rPr>
        <w:t>E. 2</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Commentaire romand, Code de procédure pénale suisse, Bâle 2011, n. 51 ad art. 429 CPP).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CPP – de même que celle prévue par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in: Niggli/Heer/Wiprächtiger (éd.), Basler Kommentar, Schweizerische Strafprozessordnung, Jugendstrafprozessordnung, Bâle 2011, n. 12 ad art. 429 CPP et n. 3 in fine ad art. 436 CPP) et comprend également les débours, tels que photocopies et frais de communication (Wehrenberg/Bernhard, op. cit., n. 17 ad art. 429 CPP; Mizel/Rétornaz, op. cit., n. 36 ad art. 429 CPP; CAPE 14 mars 2012/88 c. 2.2). b) Dans un arrêt de principe, le Tribunal fédéral a également exposé que cette indemnisation ne se limitait pas au cas où l’intéressé avait été prévenu à tort d’avoir commis un crime ou un délit (ATF 138 IV 197, c.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 2.3.5).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(ATF 138 IV 197 c. 2.3.4, p. 203; Message précité, FF 2006 II 1313; Wehrenberg/Bernhard, op. cit., n. 15 ad art. 429 CPP; Mizel/Rétornaz, op. cit., n. 31 ad art. 429 CPP; CAPE 14 mars 2012/88 c. 2.2; Juge unique CREP 9 mars 2012/152; Juge unique CREP 14 février 2012/79; cf. ATF 115 IV 156 c. 2d). Pour calculer le montant des honoraires, il convient d'appliquer le tarif horaire de l'avocat, pour autant que ce tarif se trouve dans la fourchette moyenne des tarifs pratiqués au lieu où l'avocat a son cabinet. Dans les autres cas, l'autorité pourra le réduire, s'il dépasse ce qui est usuellement admissible, tout en veillant à laisser au prévenu et à son mandataire une certaine marge de manœuvre dans la fixation des honoraires. Il ne saurait être question de lui imposer le tarif de l'assistance judiciaire (Mizel/Rétornaz, op. cit., n. 35 ad art. 429 CPP). c) En l’espèce, Q.________ a été libérée, par ordonnance de classement rendue par le préfet le 24 décembre 2013, de l’infraction de violation simple des règles de la circulation. Le fait qu’il s’agisse d’une contravention (art. 103 CP) n’exclut pas, on l’a vu ci-dessus, l’indemnisation de ses frais d’avocat. En l’occurrence, la situation en fait, et surtout en droit, n’était pas simple, de sorte que le fait d’avoir recouru aux services d’un avocat pour se défendre était tout à fait légitime dans le cas particulier. La recourante demande que son avocat soit indemnisé à raison de trois heures de travail, au tarif horaire de 400 fr., ainsi que pour ses frais de déplacement, par 160 fr. (P. 5). Elle y ajoute les frais et dépens liés au dépôt du présent recours, par 450 francs. Au vu de l’ensemble des circonstances, les trois heures de travail réclamées jusqu’au prononcé de l’ordonnance de classement sont justifiées. Le tarif horaire de 400 fr. est cependant excessif au vu de la nature de l’affaire et c’est celui, plus adapté, de 330 fr. qui sera retenu. A cela s’ajouteront les frais de transport de l’avocat, à deux reprises, de Villars à Aigle et retour. L’indemnité totale allouée à Q.________ pour les frais liés à sa défense en première instance sera ainsi de 1'242 fr., TVA comprise.</w:t>
      </w:r>
    </w:p>
    <w:p>
      <w:r>
        <w:rPr>
          <w:b/>
        </w:rPr>
        <w:t>E. 3</w:t>
      </w:r>
    </w:p>
    <w:p>
      <w:r>
        <w:t>En définitive, le recours doit être admis et la décision du 27 janvier 2014 réformée en ce sens que le montant de 1'242 fr. est alloué à Q.________ à titre d’indemnité au sens de l’art. 429 al. 1 let. a CPP, à la charge de l’Etat. Les frais de la procédure de recours, constitués en l’espèce de l’émolument d’arrêt (art. 422 al. 1 CPP), par 630 fr. (art. 20 al. 1 i.f. TFJP [Tarif des frais judiciaires pénaux; RSV 312.03.1]), seront laissés à la charge de l’Etat. La recourante, qui a obtenu gain de cause avec l’assistance d’un défenseur de choix, a également droit à une indemnité pour les dépenses occasionnées pour la défense de ses droits dans le cadre la procédure de recours. Un montant de 330 fr., plus la TVA par 26 fr. 40, doit lui être alloué à ce titre. Par ces motifs, le juge de la Chambre des recours pénale, statuant à huis clos, prononce : I . Le recours est partiellement admis. II. La décision rendue le 27 janvier 2014 par le Préfet du district d’Aigle est réformée en ce sens qu’un montant de 1'242 fr. (mille deux cent quarante-deux francs), TVA comprise, est alloué à Q.________ à titre d’indemnité au sens de l’art. 429 al. 1 let. a CPP, à la charge de l’Etat. III . Les frais d’arrêt, par 630 fr. (six cent trente francs), sont laissés à la charge de l’Etat. IV. Un montant de 356 fr. 40 (trois cent cinquante-six francs et quarante centimes) est alloué à Q.________ à titre d’indemnité au sens de l’art. 429 al. 1 let. a CPP, pour la procédure de recours, à la charge de l’Etat. V. Le présent arrêt est exécutoire. Le juge :               La greffière : Du L'arrêt qui précède, dont la rédaction a été approuvée à huis clos, est notifié, par l'envoi d'une copie complète, à : - Me Patrick Foetisch, avocat (pour Q.________), - Ministère public central, et communiqué à : - M. le Préfet du district d’Aigle,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