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 vom 27. November 2013</w:t>
      </w:r>
    </w:p>
    <w:p>
      <w:r>
        <w:t>VD Tribunal cantonal, 2013-11-27, FR</w:t>
      </w:r>
    </w:p>
    <w:p>
      <w:r>
        <w:rPr>
          <w:b/>
        </w:rPr>
        <w:t xml:space="preserve">Quelle: </w:t>
      </w:r>
      <w:r>
        <w:t>https://mcp.opencaselaw.ch/entscheid/vd_findinfo_D_cision___2014___34</w:t>
      </w:r>
    </w:p>
    <w:p>
      <w:r>
        <w:t>FR: VD_FINDINFO Décision / 2014 / 34 du 27 novembre 2013</w:t>
      </w:r>
    </w:p>
    <w:p>
      <w:r>
        <w:t>IT: VD_FINDINFO Décision / 2014 / 34 del 27 novembre 2013</w:t>
      </w:r>
    </w:p>
    <w:p>
      <w:pPr>
        <w:pStyle w:val="Heading2"/>
      </w:pPr>
      <w:r>
        <w:t>Regeste</w:t>
      </w:r>
    </w:p>
    <w:p>
      <w:r>
        <w:t>EXPERTISE PSYCHIATRIQUE, RÉCUSATION, DÉCISION D'IRRECEVABILITÉ | 393 al. 1 let. b CPP (CH), 428 al. 1 CPP (CH), 56 CPP (CH), 59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(ATF138 IV 193 c. 4.3.1) . b) Sont ainsi exclues du recours selon les art. 393 ss CPP les décisions ou ordonnances prises en cours de procédure – par opposition aux prononcés clôturant la procédure (cf. art. 81 CPP;  Stephenson/ Thiriet, in: Niggli/Heer/Wiprächtiger (éd.), Basler Kommentar, Schweizerische Strafprozessordnung, Jugendstrafprozessordnung, Bâle 2011, n. 12 ad art. 393 CPP ;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Sous réserve des cas où la loi ouvre expressément la voie du recours – ce qui est notamment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 Moreillon/Parein-Reymond, Code de procédure pénale, Petit commentaire, Bâle 2013, n. 18 ad art. 393 CPP ; CREP 17 mai 2011/202 ; CREP 4 octobre 2011/403 ; JT 2011 III 205), à moins qu’elles ne soient susceptibles de causer un préjudice irréparable (Moreillon/Parein-Reymond, op. cit., n. 18 ad art. 393 CPP et les références citées). c) En l’espèce, le prononcé attaqué a été rendu par le Tribunal de première instance avant la décision finale et n’est à l’évidence pas susceptible de causer un préjudice irréparable. Il n’est par conséquent pas susceptible de recours et le recours doit être déclaré irrecevable sur ce point.</w:t>
      </w:r>
    </w:p>
    <w:p>
      <w:r>
        <w:rPr>
          <w:b/>
        </w:rPr>
        <w:t>E. 2</w:t>
      </w:r>
    </w:p>
    <w:p>
      <w:r>
        <w:t>a) P.________ requiert ensuite la récusation du Docteur [...], directeur de l’hôpital psychiatrique de Prangins, le Tribunal de police ayant désigné l’hôpital de Prangins comme expert, à charge pour lui, tout en conservant la responsabilité de l’expertise, de déléguer tout ou partie de sa mission à l’un de ses subordonnés. b) La Chambre des recours pénale est compétente pour statuer définitivement sur la demande de récusation présentée par la recourante (TF 1B_488/2011 du 2 décembre 2011; CREP 21 février 2012/57 c. 1). c) L'art. 56 CPP – applicable aux experts par renvoi de l'art. 183 al. 3 CPP (TF 1B_243/2012 du 9 mars 2012, in SJ 2012 I 485 s.) – énumère divers motifs de récusation aux let. a à e, la let. f imposant la récusation "lorsque d'autres motifs, notamment un rapport d'amitié étroit ou d'inimitié avec une partie ou son conseil, sont de nature à le rendre suspect de prévention". La let. f de l'art. 56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L'art. 56 CPP concrétise les garanties déduites de l'art. 30 al. 1 Cst. (Constitution fédérale de la Confédération suisse du 18 avril 1999; RS 101). Certes, dès lors que l'expert ne fait pas partie du tribunal, sa récusation ne s'examine pas au regard de l'art. 30 al. 1 Cst., mais sous l'angle de l'art. 29 al. 1 Cst. garantissant l'équité du procès (ATF 125 II 541 c. 4a). Cette disposition assure toutefois au justiciable une protection équivalente à celle de l'art. 30 al. 1 Cst. s'agissant des exigences d'impartialité et d'indépendance requises d'un expert (ATF 127 I 196 c. 2b; TF 1B_488/2011 du 2 décembre 2011 c. 3.1). Les parties à une procédure ont donc le droit d'exiger la récusation d'un expert dont la situation ou le comportement est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137 I 227 c. 2.1 et les références citées; ATF 136 III 605 c. 3.2.1; ATF 134 I 20 c. 4.2; ATF 133 I 1 c. 5.2; ATF 128 V 82 c. 2a; ATF 127 I 196 c. 2b; TF 1B_488/2011 du 2 décembre 2011 c. 3.1). d) En l’espèce, la demande de récusation n’est pas motivée P.________ n’invoque aucun motif de récusation à l’appui de sa requête et on ne voit rien dans le dossier qui ferait redouter une activité partiale du Docteur [...].</w:t>
      </w:r>
    </w:p>
    <w:p>
      <w:r>
        <w:rPr>
          <w:b/>
        </w:rPr>
        <w:t>E. 3</w:t>
      </w:r>
    </w:p>
    <w:p>
      <w:r>
        <w:t>En définitive, le recours contre le prononcé ordonnant l’expertise psychiatrique de P.________ doit être déclaré irrecevable, tandis que la demande de récusation présentée par cette dernière à l’encontre de l’expert [...] doit être rejetée. Les frais du présent arrêt, par 550 fr. (art. 20 al. 1 TFJP [tarif des frais judiciaires pénaux; RSV 312.03.1]), doivent être mis à la charge de P.________ (art. 428 al. 1 et 59 al. 4 CPP). Par ces motifs, la Chambre des recours pénale, statuant à huis clos, prononce : I. Le recours est irrecevable. II. La demande de récusation présentée par P.________ le 7 novembre 2013 est rejetée. III. Les frais d’arrêt, par 550 fr. (cinq cent cinquante francs), sont mis à la charge de P.________. IV. Le présent arrêt est exécutoire. Le président :               La greffière : Du L'arrêt qui précède, dont la rédaction a été approuvée à huis clos, est notifié, par l'envoi d'une copie complète, à : - Mme P.________, - Ministère public central, et communiqué à : - Me Daniel Pache, avocat (pour [...]), - Mme la Procureure du Ministère public de l’arrondissement de La Côte, - M. le Président du Tribunal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