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337 vom 23. Januar 2014</w:t>
      </w:r>
    </w:p>
    <w:p>
      <w:r>
        <w:t>VD Tribunal cantonal, 2014-01-23, FR</w:t>
      </w:r>
    </w:p>
    <w:p>
      <w:r>
        <w:rPr>
          <w:b/>
        </w:rPr>
        <w:t xml:space="preserve">Quelle: </w:t>
      </w:r>
      <w:r>
        <w:t>https://mcp.opencaselaw.ch/entscheid/vd_findinfo_D_cision___2014___337</w:t>
      </w:r>
    </w:p>
    <w:p>
      <w:r>
        <w:t>FR: VD_FINDINFO Décision / 2014 / 337 du 23 janvier 2014</w:t>
      </w:r>
    </w:p>
    <w:p>
      <w:r>
        <w:t>IT: VD_FINDINFO Décision / 2014 / 337 del 23 gennaio 2014</w:t>
      </w:r>
    </w:p>
    <w:p>
      <w:pPr>
        <w:pStyle w:val="Heading2"/>
      </w:pPr>
      <w:r>
        <w:t>Regeste</w:t>
      </w:r>
    </w:p>
    <w:p>
      <w:r>
        <w:t>CLASSEMENT DE LA PROCÉDURE | 319 CPP (CH), 393 al. 1 let. a CPP (CH)</w:t>
      </w:r>
    </w:p>
    <w:p>
      <w:pPr>
        <w:pStyle w:val="Heading2"/>
      </w:pPr>
      <w:r>
        <w:t>Erwägungen</w:t>
      </w:r>
    </w:p>
    <w:p>
      <w:r>
        <w:rPr>
          <w:b/>
        </w:rPr>
        <w:t>E. 1</w:t>
      </w:r>
    </w:p>
    <w:p>
      <w:r>
        <w:t>Le recours est interjeté en temps utile (art. 322 al. 2 CPP [Code de procédure pénale suisse du 5 octobre 2007 ; RS 312.0] contre une ordonnance de classement du ministère public, susceptible de recours (art. 319 et 393 al. 1 let. a CPP). En outre, si, dans un premier temps, K.________ n’a pas voulu déposer plainte pénale, son courrier du 9 décembre 2013 vaut toutefois constitution de partie plaignante au pénal et au civil. Par ailleurs, la qualité de lésée de la prénommée ne fait aucun doute. Partant, la prénommée a qualité pour recourir (art. 382 al. 1 CPP). Le recours est donc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 7; TF 1B_338/2011 du 24 novembre 2011 c. 4.1) –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ATF 137 IV 285 c. 2.5). b) En l’espèce, les arguments du procureur sont pertinents et son appréciation, à laquelle la cour de céans se réfère intégralement, ne prête pas le flanc à la critique. En effet, on ne peut que constater que les versions des parties sont irrémédiablement contradictoires. Aucun témoin direct ne peut appuyer l’une ou l’autre version. Certes, les mesures d’instruction requises pourraient apporter des éclaircissements sur les difficultés rencontrées par le couple. Toutefois, elles seraient impropres à établir les faits litigieux, à savoir que le 9 octobre 2012, le prévenu aurait bloqué la recourante contre un mur de son domicile, l’aurait empêchée de sortir et l’aurait menacée. En effet, tant les voisins, qui n’étaient pas présents dans la pièce, que les enfants du couple, qui étaient dans leur chambre (cf. P. 4), n’ont pas été des témoins directs des faits, lesquels sont par ailleurs désormais anciens. Dans ces conditions, un renvoi en jugement du prévenu aboutirait très probablement à un acquittement.</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12 décembre 2013 est confirmée. III. Les frais d'arrêt, par 550 fr. (cinq cent cinquante francs), sont mis à la charge de K.________. IV. Le présent arrêt est exécutoire. Le président :               La greffière : Du L'arrêt qui précède, dont la rédaction a été approuvée à huis clos, est notifié, par l'envoi d'une copie complète, à : - M. Matthieu Genillod, avocat (pour K.________), - Mme Alix de Courten, avocate (pour M.________),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