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330 vom 11. Februar 2014</w:t>
      </w:r>
    </w:p>
    <w:p>
      <w:r>
        <w:t>VD Tribunal cantonal, 2014-02-11, FR</w:t>
      </w:r>
    </w:p>
    <w:p>
      <w:r>
        <w:rPr>
          <w:b/>
        </w:rPr>
        <w:t xml:space="preserve">Quelle: </w:t>
      </w:r>
      <w:r>
        <w:t>https://mcp.opencaselaw.ch/entscheid/vd_findinfo_D_cision___2014___330</w:t>
      </w:r>
    </w:p>
    <w:p>
      <w:r>
        <w:t>FR: VD_FINDINFO Décision / 2014 / 330 du 11 février 2014</w:t>
      </w:r>
    </w:p>
    <w:p>
      <w:r>
        <w:t>IT: VD_FINDINFO Décision / 2014 / 330 del 11 febbraio 2014</w:t>
      </w:r>
    </w:p>
    <w:p>
      <w:pPr>
        <w:pStyle w:val="Heading2"/>
      </w:pPr>
      <w:r>
        <w:t>Regeste</w:t>
      </w:r>
    </w:p>
    <w:p>
      <w:r>
        <w:t>CLASSEMENT DE LA PROCÉDURE | 310 CPP (CH), 393 al. 1 let. a CPP (CH)</w:t>
      </w:r>
    </w:p>
    <w:p>
      <w:pPr>
        <w:pStyle w:val="Heading2"/>
      </w:pPr>
      <w:r>
        <w:t>Erwägungen</w:t>
      </w:r>
    </w:p>
    <w:p>
      <w:r>
        <w:rPr>
          <w:b/>
        </w:rPr>
        <w:t>E. 1</w:t>
      </w:r>
    </w:p>
    <w:p>
      <w:r>
        <w:t>Une ordonnance de non-entrée en matière (art. 310 CPP [Code de procédure pénale suisse du 5 octobre 2007; RS 312.0]) rendue par le Ministère public peut faire l'objet d'un recours auprès de la Chambre des recours pénale du Tribunal cantonal. Le recours doit être adressé par écrit, dans un délai de dix jours dès la notification de la décision attaquée (cf. art. 384 let. b CPP), à l’autorité de recours (art. 322 al. 2 CPP, par renvoi de l'art. 310 al. 2 CPP et art. 396 al. 1 CPP). Interjeté dans le délai légal et dans les formes prescrites, par la partie plaignante qui a qualité pour recourir (art. 382 al. 1 CPP), le recours est recevable. En revanche, il ne sera pas tenu compte des compléments au recours déposés les 24 mars, 27 mars et 6 avril 2014, dès lors que ceux-ci ont été déposés après l’échéance du délai de recours.</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 b) S’agissant tout d’abord de la loi fédérale sur la protection des données, ce sont les art. 34 et 35 LPD qui régissent les normes pénales relatives à cette loi. L’art. 34 (violation des obligations de renseigner, de déclarer et de collaborer) peut d’emblée être exclu, puisqu’il vise les omissions ou fautes des personnes privées qui collectent des données. Or, la CDAP n’a pas collecté de données, mais a examiné un recours déposé par l’intéressé lui-même. Quoi qu’il en soit, le Tribunal cantonal n’est pas une personne privée au sens de cette disposition, mais une autorité. Enfin, on ne discerne pas comment le recourant aurait voulu que son recours soit examiné par la Cour, sans que les faits à l’origine de son recours ne soient connus de l’autorité tant de recours que de celle qui est à l’origine de la procédure. Ainsi, seul l’art. 35 LPD pourrait entrer en ligne de compte. Cette disposition prévoit que se rend coupable de violation du devoir de discrétion la personne qui, intentionnellement, aura révélé d'une manière illicite des données personnelles secrètes et sensibles ou des profils de la personnalité portés à sa connaissance dans l'exercice d'une profession qui requiert la connaissance de telles données (al. 1) ou dans le cadre des activités qu'elle exerce pour le compte de la personne soumise à l'obligation de garder le secret ou lors de sa formation chez elle (al. 2). En l’occurrence, le recourant a contesté devant la CDAP une décision du SPJ du 18 septembre 2012 lui refusant la suppression intégrale de son dossier auprès de ce service. Le recours a été rejeté et l’arrêt communiqué au SPJ. Or, selon l’art. 13 al. 1 de la loi vaudoise sur la procédure administrative (LPA-VD; RSV 173.36), applicable à un litige divisant une partie privée d’avec un service de l’Etat, comme en l’espèce, peuvent avoir la qualité de partie les personnes susceptibles d’être atteintes par la décision et qui participent à la procédure (let. a), les personnes ou autorités auxquelles la loi confèrent la qualité de partie (let. b), les personnes ou autorités qui disposent d’un moyen de droit à l’encontre de la décision attaquée (let. c) ou les personnes intervenant dans une procédure d’enquête publique ou de consultation (let. d). Il ressort donc de cette disposition que le SPJ doit se voir reconnaître la qualité de partie à la procédure devant la CDAP, dans la mesure où c’est sa propre décision qui est attaquée. Le SPJ est en effet l’autorité intimée. La communication de l’arrêt à ce service était donc licite au sens de l’art. 35 LPD, puisqu’elle était prévue par la LPA-VD. Il convient d’ajouter que, bien au contraire, si la CDAP n’avait pas communiqué l’arrêt à l’autorité intimée, elle aurait violé la loi et commis une faute. Au vu de ce qui précède, le moyen tiré d’une violation de la LPD doit être rejeté. c) Le même raisonnement peut être tenu à l’égard d’une violation de l’art. 41 LPrD. Selon cette disposition, se rend coupable de violation du devoir de discrétion toute personne ayant révélé intentionnellement, d’une manière illicite, des données personnelles ou sensibles qui ont été portées à sa connaissance dans l’exercice de sa fonction (al. 1) ou dans le cadre des activités qu’elle exerce pour le compte de personnes soumises à l’obligation de garder le secret (al. 2). Or, comme on l’a vu ci-dessus sous chiffre 2b, la CDAP, respectivement son président, devait communiquer l’arrêt à l’autorité intimée. Cette communication était donc non seulement licite, mais encore obligatoire. d) Enfin, le recourant s’appuie sur l’art. 16 al. 2 LArch, aux termes duquel se rend coupable de contravention celui qui aura dévoilé intentionnellement et sans autorisation des informations contenues dans des archives soumises à un délai de protection. Toutefois, le recours déposé devant la CDAP et l’arrêt qui en est résulté n’était pas archivé, puisqu’il fallait d’abord qu’il soit rendu, puis notifié aux parties. L’archivage suit des règles qui impliquent que l’arrêt ne sera ensuite plus consultable que sur autorisation expresse de l’autorité (art. 10 LArch). Les éléments constitutifs de l’infraction à la LArch ne sont donc pas réunis. e) Au vu de l’ensemble des considérations qui précèdent, c’est à juste titre que la procureure a refusé d’entrer en matière sur la plainte de M.________.</w:t>
      </w:r>
    </w:p>
    <w:p>
      <w:r>
        <w:rPr>
          <w:b/>
        </w:rPr>
        <w:t>E. 3</w:t>
      </w:r>
    </w:p>
    <w:p>
      <w:r>
        <w:t>Il résulte de ce qui précède que le recours doit être rejeté et l’ordonnance attaquée confirmée. Les frais de la procédure de recours, constitués en l’espèce du seul émolument d'arrêt (art. 422 al. 1 CPP), par 660 fr. (art. 20 al. 1 TFJP [tarif des frais judiciaires pénaux; RSV 312.03.1]), seront mis à la charge du recourant, qui succombe (art. 428 al. 1 CPP). Le montant de 440 fr. déjà versé par le recourant à titre de sûretés sera imputé sur les frais mis à sa charge (art. 7 TFJP). Par ces motifs, la Chambre des recours pénale, statuant à huis clos, prononce : I. Le recours est rejeté. II. L’ordonnance du 9 décembre 2013 est confirmée. III. Les frais d’arrêt, par 660 fr. (six cent soixante francs), sont mis à la charge de M.________. IV. Le montant de 440 fr. (quatre cent quarante francs) déjà versé par le recourant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