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316 vom 31. Januar 2014</w:t>
      </w:r>
    </w:p>
    <w:p>
      <w:r>
        <w:t>VD Tribunal cantonal, 2014-01-31, FR</w:t>
      </w:r>
    </w:p>
    <w:p>
      <w:r>
        <w:rPr>
          <w:b/>
        </w:rPr>
        <w:t xml:space="preserve">Quelle: </w:t>
      </w:r>
      <w:r>
        <w:t>https://mcp.opencaselaw.ch/entscheid/vd_findinfo_D_cision___2014___316</w:t>
      </w:r>
    </w:p>
    <w:p>
      <w:r>
        <w:t>FR: VD_FINDINFO Décision / 2014 / 316 du 31 janvier 2014</w:t>
      </w:r>
    </w:p>
    <w:p>
      <w:r>
        <w:t>IT: VD_FINDINFO Décision / 2014 / 316 del 31 gennaio 2014</w:t>
      </w:r>
    </w:p>
    <w:p>
      <w:pPr>
        <w:pStyle w:val="Heading2"/>
      </w:pPr>
      <w:r>
        <w:t>Regeste</w:t>
      </w:r>
    </w:p>
    <w:p>
      <w:r>
        <w:t>CONSTATATION DES FAITS, DIMINUTION EFFECTIVE DE L'ACTIF, GESTION DÉLOYALE, FAUX MATÉRIEL DANS LES TITRES | 158 CP, 164 CP, 251 CP, 393 al. 2 let. b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Les recourants se prévalent en premier lieu d'une constatation incomplète ou erronée des faits (art. 393 al. 2 let. b CPP). a) 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Commentaire romand, Code de procédure pénale suisse, Bâle 2011, n. 17 ad art. 393 CPP). b) En l’espèce, il ne ressort en effet pas expressément de l’ordonnance querellée que B.E.________ a prélevé les montants de 230'000 fr. et 150'000 fr., les 13 avril et</w:t>
      </w:r>
    </w:p>
    <w:p>
      <w:r>
        <w:rPr>
          <w:b/>
        </w:rPr>
        <w:t>E. 4</w:t>
      </w:r>
    </w:p>
    <w:p>
      <w:r>
        <w:t>Les recourants ne contestent pas l'ordonnance de classement en tant qu'elle concerne A.E.________. Ils soutiennent en revanche que B.E.________ s’est rendu coupable de diminution effective de l’actif au préjudice des créanciers. a) 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Le comportement sanctionné par cette disposition doit être distingué de celui visé par l'art. 163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TF 6B_434/2011 du 27 janvier 2012; Corboz, Les infractions en droit suisse, vol. I, 3 ème éd., Berne 2010, nn.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nn. 4 et 13 ad art. 164 CP). L'infraction visée par l'art. 164 ch. 1 CP est intentionnelle, le dol éventuel étant suffisant. Outre l'intention générale, cette disposition exige que l'auteur ait l'intention de causer un dommage à son ou ses créanciers (TF 6B_617/2010 du 24 novembre 2010 c. 2.1). L'intention ne doit en revanche pas porter sur la déclaration de faillite, puisqu'il s'agit d'une condition objective de punissabilité et non d'un élément constitutif (Corboz, op. cit., n. 23 ad art. 164 CP). b) En l’espèce, il est établi que B.E.________ a prélevé les montants de 230'000 fr. et 150'000 fr. sur le compte bancaire de la société C.________SA afin de les verser sur son compte personnel, remboursant ainsi partiellement sa créance d'actionnaire (cf. c. 3 supra; P. 23, pp. 2 s.). En procédant de la sorte, il a diminué les actifs de la société. B.E.________ a en outre agi alors que la société était en état de surendettement (P. 23, p. 3). Les éléments constitutifs objectifs de l’art. 164 CP paraissent ainsi réunis. S’agissant de l’élément subjectif de l’infraction, il ressort du rapport de l’analyste en criminalité économique du Ministère public central qu'indépendamment de la situation de surendettement de la société C.________SA, le fonds de roulement de celle-ci a été positif de 2004 à 2007, lui permettant ainsi de s'acquitter de ses dettes à court terme à leur échéance (P. 23, p. 3). Si le fonds de roulement était positif, c'était parce que B.E.________ ou une de ses sociétés s'acquittait régulièrement des paiements au nom de C.________SA (P. 23, p. 9). Les explications du prévenu selon lesquelles la société avait les moyens de payer les créances ouvertes lors des prélèvements contestés ont donc été confirmées (P. 23, pp. 4 et 9). Néanmoins, au moment où les prélèvements litigieux ont été opérés, la société C.________SA était en état de surendettement au sens de l'art. 725 CO et B.E.________ le savait. En effet, lors de son audition du 29 novembre 2012, ce dernier a expliqué que « la société était au bord de la faillite » déjà dès juin 2006 (PV aud. 4, pp. 2 s.). Il était en outre présent, en tant que directeur de la société C.________SA, lors de l’assemblée générale du 25 mai 2007 où le surendettement de la société a été évoqué et sa mise en liquidation votée (cf. P. 5/6). Dans ces conditions, en homme d'affaires avisé, le prévenu ne pouvait pas ignorer qu'en prélevant une somme totale de 380'000 fr., il diminuait l'actif de la société C.________SA de manière à causer un dommage à ses créanciers. L’élément subjectif de l’infraction de diminution effective de l’actif au préjudice des créanciers paraît donc réalisé, à tout le moins sous la forme du dol éventuel.</w:t>
      </w:r>
    </w:p>
    <w:p>
      <w:r>
        <w:rPr>
          <w:b/>
        </w:rPr>
        <w:t>E. 5</w:t>
      </w:r>
    </w:p>
    <w:p>
      <w:r>
        <w:t>Les recourants soutiennent que le prévenu B.E.________ s'est rendu coupable de gestion déloyale au sens de l’art. 158 CP. a)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op. cit., n. 13 ad art. 158 CP). L'infraction de gestion déloyale ne peut être commise que par une personne qui revêt la qualité de gérant; il s’agit d’un élément constitutif objectif de l’infraction. Selon la jurisprudence, il s'agit d'une personne à qui incombe, de fait ou formellement, la responsabilité d'administrer un complexe patrimonial non négligeable dans l'intérêt d'autrui (ATF 129 IV 124 c.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 3b p. 21). Un tel devoir incombe notamment aux organes des sociétés commerciales, à savoir aux membres du conseil d'administration et à la direction, ainsi qu'aux organes de fait (TF 6B_728/2012 du 18 février 2013 c. 2.1 in fine et les références). b) En l’occurrence, comme le soulèvent à juste titre les recourants, B.E.________, en tant qu'administrateur et directeur de la société C.________SA, avait un devoir de veiller à la bonne gestion des intérêts de la société. En prélevant un montant total de 380'000 fr. sur le compte de C.________SA pour le verser sur son compte personnel, alors que la société était en surendettement, il a causé un dommage à ses créanciers. Il a ainsi failli à son devoir de gestion. A ce stade et comme il a déjà été relevé ci-dessus (cf. c. 4b supra), l'intention délictuelle du prévenu, à tout le moins le dol éventuel, ne peut être exclue. Les soupçons sont donc suffisants, au sens de l’art. 324 al. 1 CPP, pour prononcer la mise en accusation de B.E.________ du chef de gestion déloyale.</w:t>
      </w:r>
    </w:p>
    <w:p>
      <w:r>
        <w:rPr>
          <w:b/>
        </w:rPr>
        <w:t>E. 6</w:t>
      </w:r>
    </w:p>
    <w:p>
      <w:r>
        <w:t>Les recourants demandent que le prévenu B.E.________ soit reconnu coupable de faux dans les titres. 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op. cit., vol. II, nn. 171 ss ad art. 251 CP). S'agissant des éléments objectifs de l'infraction, sont notamment des titres tous les écrits destinés et propres à prouver un fait ayant une portée juridique (cf. art. 110 ch. 4 CP). b) En l’espèce, B.E.________ a signé le 28 janvier 2009 au nom de la société C.________SA un document intitulé « Assignment » prévoyant le transfert de brevets en faveur de M.________, société détenue par le prévenu, alors que la société C.________SA était en faillite depuis le 1 er octobre 2007 et que ce dernier n’avait plus le pouvoir de la représenter. Contrairement à ce qu’a retenu le Ministère public, il faut reconnaître une portée juridique à ce document, dans la mesure où comme le soutiennent les recourants, la cession avait pour but une inscription des brevets aux Etats-Unis pour en obtenir la protection, peu important à cet égard qu'un contrat de cession ait été préalablement conclu. Les explications du prévenu B.E.________ à ce sujet sont peu convaincantes, voire fumeuses, prétextant ne plus se souvenir du contenu du document, ni même l’avoir signé en tant que représentant de la société C.________SA, mais au nom de la nouvelle société C.________SA qu'il voulait créer par l'intermédiaire de M.________ (P. 23, pp. 4 s.). En outre, le document litigieux ne se réfère à aucun moment au contrat de cession du 30 avril 2007, mais la Cour constate être peu informée sur ces faits, en particulier sur l’inscription à l’OMPI et sur le point de savoir s’il s’agissait ou non des mêmes brevets. L'instruction doit dès lors être complétée sur cette question.</w:t>
      </w:r>
    </w:p>
    <w:p>
      <w:r>
        <w:rPr>
          <w:b/>
        </w:rPr>
        <w:t>E. 7</w:t>
      </w:r>
    </w:p>
    <w:p>
      <w:r>
        <w:t>Sur le vu de ce qui précède, il existe contre le prévenu B.E.________ des soupçons suffisants de diminution effective par le débiteur de son actif au préjudice des créanciers (art. 164 CP), de gestion déloyale (art. 158 CP) et de faux dans les titres (art. 251 CP), si bien que l’ordonnance de classement est mal fondée en ce qui le concerne. Il appartiendra au Ministère public de tirer les conclusions juridiques de ce constat.</w:t>
      </w:r>
    </w:p>
    <w:p>
      <w:r>
        <w:rPr>
          <w:b/>
        </w:rPr>
        <w:t>E. 8</w:t>
      </w:r>
    </w:p>
    <w:p>
      <w:r>
        <w:t>En définitive, le recours doit être admis, l'ordonnance de classement du 4 octobre 2013 annulée en ce qui concerne B.E.________ et le dossier de la cause renvoyé au Ministère public de l'arrondissement de La Côte pour qu'il procède dans le sens des considérants, puis rende une nouvelle décision. L’ordonnance de classement sera confirmée en ce qui concerne A.E.________. Cela implique que le chiffre II de l’ordonnance, soit l’indemnité versée à B.E.________, doit être annulé également. Comme le classement est confirmé à l’égard de A.E.________ et que les deux prévenus ont agi par l’intermédiaire du même conseil, il y a lieu de maintenir l’allocation de l’indemnité en faveur de celui-ci, en allouant la moitié du montant fixé par le Procureur par mesure de simplification. Le chiffre IV concernant les frais doit être également annulé s’agissant de B.E.________. S'agissant des dépens réclamés par les recourants, il leur appartiendra de faire valoir leurs prétentions à la fin de la procédure, auprès de l'autorité pénale compétente selon l'art. 433 al. 2 CPP (CREP 16 avril 2013/279 c. 4 et les réf. cit.). Les frais de la procédure de recours, constitués en l’espèce de l’émolument d'arrêt, par 1'320 fr. (art. 20 al. 1 TFJP [Tarif des frais judiciaires pénaux du 28 septembre 2010; RSV 312.03.1]), seront mis à la charge de B.E.________ et A.E.________, qui ont conclu au rejet du recours et qui succombent, à parts égales et solidairement entre eux (art. 418 al. 1 et 2 et 428 al. 1 CPP). Par ces motifs, la Chambre des recours pénale, statuant à huis clos, prononce : I. Le recours est admis. II. L’ordonnance du 4 octobre 2013 est annulée en ce qui concerne le classement en faveur de B.E.________ (ch. I), l’allocation d’une indemnité en sa faveur (ch. II) et les frais de la cause (ch. IV). III. Le dossier de la cause est renvoyé à la Procureure de l'arrondissement de La Côte pour qu'elle procède dans le sens des considérants, puis rende une nouvelle décision. IV. L’ordonnance de classement est confirmée en ce qui concerne A.E.________ (ch. I et ch. IV). V. L’ordonnance du 4 octobre 2013 est réformée à son chiffre II en ce sens qu’une indemnité de 4'170 fr. (quatre mille cent septante francs) pour le remboursement de ses frais de défense est allouée à A.E.________. VI. L’ordonnance est maintenue pour le surplus (ch. III). VII. Les frais d’arrêt, par 1'320 fr. (mille trois cent vingt francs), sont mis à la charge de B.E.________ et de A.E.________, à parts égales, soit 660 fr. (six cent soixante francs) chacun, et solidairement entre eux. VIII. Le présent arrêt est exécutoire. Le président :               La greffière : Du L'arrêt qui précède, dont la rédaction a été approuvée à huis clos, est notifié, par l'envoi d'une copie complète, à : - MM. Nicolas Gillard et Yvan Henzer, avocats (pour B.________, A.________ et K.________), - M. Pierre-Yves Baumann, avocat (pour B.E.________ et A.E.________),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