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315 vom 1. April 2014</w:t>
      </w:r>
    </w:p>
    <w:p>
      <w:r>
        <w:t>VD Tribunal cantonal, 2014-04-01, FR</w:t>
      </w:r>
    </w:p>
    <w:p>
      <w:r>
        <w:rPr>
          <w:b/>
        </w:rPr>
        <w:t xml:space="preserve">Quelle: </w:t>
      </w:r>
      <w:r>
        <w:t>https://mcp.opencaselaw.ch/entscheid/vd_findinfo_D_cision___2014___315</w:t>
      </w:r>
    </w:p>
    <w:p>
      <w:r>
        <w:t>FR: VD_FINDINFO Décision / 2014 / 315 du 1 avril 2014</w:t>
      </w:r>
    </w:p>
    <w:p>
      <w:r>
        <w:t>IT: VD_FINDINFO Décision / 2014 / 315 del 1 aprile 2014</w:t>
      </w:r>
    </w:p>
    <w:p>
      <w:pPr>
        <w:pStyle w:val="Heading2"/>
      </w:pPr>
      <w:r>
        <w:t>Regeste</w:t>
      </w:r>
    </w:p>
    <w:p>
      <w:r>
        <w:t>RISQUE DE RÉCIDIVE, SOUPÇON, PROPORTIONNALITÉ, MESURE DE SUBSTITUTION À LA DÉTENTION, DÉTENTION PROVISOIRE | 221 al. 1 let. c CPP (CH), 237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b) En l’espèce, il y a lieu d’entrer en matière sur le recours, qui a été interjeté en temps utile devant l’autorité compétente et satisfait aux conditions de forme posées par l’art. 385 al. 1 CPP.</w:t>
      </w:r>
    </w:p>
    <w:p>
      <w:r>
        <w:rPr>
          <w:b/>
        </w:rPr>
        <w:t>E. 2</w:t>
      </w:r>
    </w:p>
    <w:p>
      <w:r>
        <w:t>supra ) et qui concernent des infractions d’abus de confiance et d’escroquerie qui auraient été commises au préjudice de la société D.________ (plainte de C.________ du 11 décembre 2007), une tentative de contrainte en raison d’un commandement de payer d’un montant de 13'245'000 fr. qu’il aurait fait notifier à un employé du Service des eaux, sols et assainissement (plainte d’[...] du 27 août 2013), ainsi que diverses infractions à la LCR (PV aud. police du 28 août 2013; rapport du 10 octobre 2012 de la police bernoise), infractions sur lesquelles le prévenu ne revient d’ailleurs pas, si ce n’est pour affirmer qu’elles ne seraient pas suffisamment graves pour l’on puisse retenir un risque de récidive (recours, p. 5 in fine ).</w:t>
      </w:r>
    </w:p>
    <w:p>
      <w:r>
        <w:rPr>
          <w:b/>
        </w:rPr>
        <w:t>E. 3</w:t>
      </w:r>
    </w:p>
    <w:p>
      <w:r>
        <w:t>Le recourant conteste l’existence des risques de réitération et de passage à l’acte (art. 221 al. 1 let. c et al. 2 CPP). a)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 infraction du même genre » indique que les infractions précédentes doivent être des crimes ou des délits et que l'infraction redoutée doit être similaire, sans pour autant être identique (Schmocker, op. cit.,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L’art. 221 al. 2 CPP prévoit que la détention peut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Ce motif de détention peut non seulement s'appliquer à une personne ayant accompli des actes préparatoires délictueux au sens de l'art. 260 bis CP (Code pénal suisse du 21 décembre 1937; RS 311.0) ou ayant commis une tentative au sens de l'art. 22 CP, mais également à une personne s'étant livrée à d'autres actes non prévus par la loi lorsque ceux-ci sont en tous points comparables s'agissant du risque de commission d'un crime. 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et les références citées). b) Dans son précédent arrêt (CREP,</w:t>
      </w:r>
    </w:p>
    <w:p>
      <w:r>
        <w:rPr>
          <w:b/>
        </w:rPr>
        <w:t>E. 7</w:t>
      </w:r>
    </w:p>
    <w:p>
      <w:r>
        <w:t>En définitive, le recours, manifestement mal fondé, doit être rejeté sans autre échange d’écritures (art. 390 al. 2 CPP) et l'ordonnance attaquée confirmée. Vu l’issue de la cause, les frais de la procédure de recours, constitués en l’espèce de l'émolument d'arrêt (art. 422 al. 1 CPP), par 1’210 fr. (art. 20 al. 1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de W.________ ne sera toutefois exigible que pour autant que la situation économique de ce dernier se soit améliorée (art. 135 al. 4 CPP). Par ces motifs, la Chambre des recours pénale, statuant à huis clos, prononce : I. Le recours est rejeté. II. L’ordonnance du 14 mars 2014 est confirmée. III. L’indemnité allouée au défenseur d’office de W.________ est fixée à 486 fr. (quatre cent huitante-six francs). IV. Les frais d'arrêt, par 1’210 fr. (mille deux cent dix francs), ainsi que l’indemnité due au défenseur d’office de W.________ selon le chiffre III ci-dessus, sont mis à la charge de ce dernier. V. Le remboursement à l'Etat de l'indemnité allouée au chiffre III ci-dessus sera exigible pour autant que la situation économique de W.________ se soit améliorée. VI. Le présent arrêt est exécutoire. Le président :               Le greffier : Du L'arrêt qui précède, dont la rédaction a été approuvée à huis clos, est notifié, par l'envoi d'une copie complète, à : - M. Sébastien Pedroli, avocat (pour W.________), - Ministère public central, et communiqué à : ‑ M. le Président du Tribunal des mesures de contrainte, - M. le Procureur de l’arrondissement du Nord vaudois, - M. Charles-Henri de Luze, avocat (pour C.________),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