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31 vom 14. Januar 2014</w:t>
      </w:r>
    </w:p>
    <w:p>
      <w:r>
        <w:t>VD Tribunal cantonal, 2014-01-14, FR</w:t>
      </w:r>
    </w:p>
    <w:p>
      <w:r>
        <w:rPr>
          <w:b/>
        </w:rPr>
        <w:t xml:space="preserve">Quelle: </w:t>
      </w:r>
      <w:r>
        <w:t>https://mcp.opencaselaw.ch/entscheid/vd_findinfo_D_cision___2014___31</w:t>
      </w:r>
    </w:p>
    <w:p>
      <w:r>
        <w:t>FR: VD_FINDINFO Décision / 2014 / 31 du 14 janvier 2014</w:t>
      </w:r>
    </w:p>
    <w:p>
      <w:r>
        <w:t>IT: VD_FINDINFO Décision / 2014 / 31 del 14 gennaio 2014</w:t>
      </w:r>
    </w:p>
    <w:p>
      <w:pPr>
        <w:pStyle w:val="Heading2"/>
      </w:pPr>
      <w:r>
        <w:t>Regeste</w:t>
      </w:r>
    </w:p>
    <w:p>
      <w:r>
        <w:t>DÉTENTION PRÉVENTIVE, RISQUE DE FUITE, PROPORTIONNALITÉ | 212 al. 3 CPP (CH), 221 al. 1 let. a CPP (CH), 222 CPP (CH)</w:t>
      </w:r>
    </w:p>
    <w:p>
      <w:pPr>
        <w:pStyle w:val="Heading2"/>
      </w:pPr>
      <w:r>
        <w:t>Erwägungen</w:t>
      </w:r>
    </w:p>
    <w:p>
      <w:r>
        <w:rPr>
          <w:b/>
        </w:rPr>
        <w:t>E. 4</w:t>
      </w:r>
    </w:p>
    <w:p>
      <w:r>
        <w:t>Le recourant invoque une violation du principe de proportionnalité (art. 212 al. 3 CPP). a)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Le principe est également valable pour la détention pour des motifs de sûreté. b) En l’espèce, le recourant est détenu provisoirement depuis le 4 octobre 2013, soit depuis un peu plus de trois mois. Compte tenu des actes qui lui sont reprochés, le recourant s'expose à une peine privative de liberté d’une durée supérieure à celle de la détention provisoire subie à ce jour. La Cour relève à cet égard que son comparse, W.________, a été condamné par le Tribunal correctionnel à une peine privative de liberté de dix-huit mois pour vol en bande et par métier. Au vu de ces éléments, le principe de proportionnalité de la détention provisoire demeure respecté.</w:t>
      </w:r>
    </w:p>
    <w:p>
      <w:r>
        <w:rPr>
          <w:b/>
        </w:rPr>
        <w:t>E. 5</w:t>
      </w:r>
    </w:p>
    <w:p>
      <w:r>
        <w:t>Il résulte de ce qui précède que le recours, manifestement mal fondé, doit être rejeté sans autres échanges d’écritures (art. 390 al. 2 CPP). Les frais de la procédure de recours, constitués en l’espèce de l’émolument d'arrêt, par 660 fr. (art. 20 al. 1 TFJP [tarif des frais judiciaires pénaux; RSV 312.03.1]) et des frais imputables à la défense d’office (art. 422 al. 1 et 2 let. a CPP), fixés à 630 fr., plus la TVA par 50 fr. 40, soit un total de 680 fr. 40, seront mis à la charge d’L.________,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30 décembre 2013 est confirmée. III. L'indemnité allouée au défenseur d'office d’L.________ est fixée à 680 fr. 40 (six cent huitante francs et quarante centimes). IV. Les frais du présent arrêt, par 660 fr. (six cent soixante francs), ainsi que l’indemnité due au défenseur d’office d’L.________, par 680 fr. 40 (six cent huitante francs et quarante centimes), sont mis à la charge de ce dernier. V. Le remboursement à l'Etat de l'indemnité allouée au chiffre III ci-dessus sera exigible pour autant que la situation économique d’L.________ se soit améliorée. VI. Le présent arrêt est exécutoire. Le président :               La greffière : Du L'arrêt qui précède, dont la rédaction a été approuvée à huis clos, est notifié, par l'envoi d'une copie complète, à : - M. David Abikzer, avocat (pour L.________), - Ministère public central, et communiqué à : ‑ Mme la Présidente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