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283 vom 19. März 2014</w:t>
      </w:r>
    </w:p>
    <w:p>
      <w:r>
        <w:t>VD Tribunal cantonal, 2014-03-19, FR</w:t>
      </w:r>
    </w:p>
    <w:p>
      <w:r>
        <w:rPr>
          <w:b/>
        </w:rPr>
        <w:t xml:space="preserve">Quelle: </w:t>
      </w:r>
      <w:r>
        <w:t>https://mcp.opencaselaw.ch/entscheid/vd_findinfo_D_cision___2014___283</w:t>
      </w:r>
    </w:p>
    <w:p>
      <w:r>
        <w:t>FR: VD_FINDINFO Décision / 2014 / 283 du 19 mars 2014</w:t>
      </w:r>
    </w:p>
    <w:p>
      <w:r>
        <w:t>IT: VD_FINDINFO Décision / 2014 / 283 del 19 marzo 2014</w:t>
      </w:r>
    </w:p>
    <w:p>
      <w:pPr>
        <w:pStyle w:val="Heading2"/>
      </w:pPr>
      <w:r>
        <w:t>Regeste</w:t>
      </w:r>
    </w:p>
    <w:p>
      <w:r>
        <w:t>DÉCISION D'IRRECEVABILITÉ | 177 CP, 312 CP</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w:t>
      </w:r>
    </w:p>
    <w:p>
      <w:r>
        <w:t>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w:t>
      </w:r>
    </w:p>
    <w:p>
      <w:r>
        <w:t>e éd., vol. I, Berne 2010, n. 5 ad art. 312 CP). Cette infraction présuppose que le détenteur de l’autorité exerce de façon illégale le pouvoir qu'il tire de sa fonction, décidant ou contraignant là où il ne devrait pas; l'abus est cependant davantage qu'une simple violation des devoirs de service, mais suppose, bien plutôt, une violation insoutenable des règles applicables (Corboz, op. cit., n. 6 ad art. 312 CP). La licéité de l'acte est, en tous les cas, subordonnée à la condition qu'il soit proportionné à son but (ATF 107 IV 84 c. 4). L’auteur doit avoir conscience de son statut et accepter l’éventualité d’abuser des pouvoirs de sa charge (Corboz, op. cit., n. 9 ad art. 312 CP).</w:t>
      </w:r>
    </w:p>
    <w:p>
      <w:r>
        <w:rPr>
          <w:b/>
        </w:rPr>
        <w:t>E. 3.1</w:t>
      </w:r>
    </w:p>
    <w:p>
      <w:r>
        <w:t>En vertu de l'art. 312 CP, se rendent coupable d'abus d'autorité les membres d'une autorité et les fonctionnaires qui, dans le dessein de se procurer ou de procurer à un tiers un avantage illicite, ou dans le dessein de nuire à autrui, auront abusé des pouvoirs de leur charge. L'abus d'autorité présuppose, parmi les éléments constitutifs objectifs de l'infraction, que, dans l'accomplissement de sa tâche officielle, le membre de l'autorité ou le fonctionnaire abuse des moyens coercitifs inhérents à sa charge (Corboz, Les infractions en droit suisse,</w:t>
      </w:r>
    </w:p>
    <w:p>
      <w:r>
        <w:rPr>
          <w:b/>
        </w:rPr>
        <w:t>E. 3.2</w:t>
      </w:r>
    </w:p>
    <w:p>
      <w:r>
        <w:t>En l’espèce, les propos dénoncés, qui ne sont du reste pas les mêmes dans la plainte (P. 4) que dans le recours, seraient certes grossiers et inadéquats. Ils ne tombent toutefois pas sous le coup de l’art. 312 CP et ne sont au surplus pas injurieux au sens de la loi. Il résulte de ce qui précède que les éléments constitutifs de l’infraction d’abus d’autorité ne sont manifestement pas réunis. C’est donc à juste titre que la Procureure de l’arrondissement de Lausanne a rendu une ordonnance de non-entrée en matière, au sens de l’art. 310 al. 1 let. a CPP.</w:t>
      </w:r>
    </w:p>
    <w:p>
      <w:r>
        <w:rPr>
          <w:b/>
        </w:rPr>
        <w:t>E. 4</w:t>
      </w:r>
    </w:p>
    <w:p>
      <w:r>
        <w:t>En définitive, le recours, manifestement mal fondé, doit être rejeté sans autre échange d’écritures (art. 390 al. 2 CPP) et l’ordonnance attaquée confirmée. Les frais de procédure, constitués en l’espèce du seul émolument d'arrêt (art. 422 al. 1 CPP), par 440 fr. (art. 20 al. 1 TFJP [tarif des frais judiciaires pénaux; RSV 312.03.1]), seront mis à la charge de R.________ qui succombe (art. 428 al. 1 CPP). Par ces motifs, la Chambre des recours pénale, statuant à huis clos, prononce : I. Le recours est rejeté. II. L’ordonnance du 29 janvier 2014 est confirmée. III. Les frais de la procédure de recours, par 440 fr. (quatre cent quarante francs), sont mis à la charge de R.________. IV. Le présent arrêt est exécutoire. Le président :               La greffière : Du L'arrêt qui précède, dont la rédaction a été approuvée à huis clos, est notifié, par l'envoi d'une copie complète, à : - 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