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279 vom 6. März 2014</w:t>
      </w:r>
    </w:p>
    <w:p>
      <w:r>
        <w:t>VD Tribunal cantonal, 2014-03-06, FR</w:t>
      </w:r>
    </w:p>
    <w:p>
      <w:r>
        <w:rPr>
          <w:b/>
        </w:rPr>
        <w:t xml:space="preserve">Quelle: </w:t>
      </w:r>
      <w:r>
        <w:t>https://mcp.opencaselaw.ch/entscheid/vd_findinfo_D_cision___2014___279</w:t>
      </w:r>
    </w:p>
    <w:p>
      <w:r>
        <w:t>FR: VD_FINDINFO Décision / 2014 / 279 du 6 mars 2014</w:t>
      </w:r>
    </w:p>
    <w:p>
      <w:r>
        <w:t>IT: VD_FINDINFO Décision / 2014 / 279 del 6 marzo 2014</w:t>
      </w:r>
    </w:p>
    <w:p>
      <w:pPr>
        <w:pStyle w:val="Heading2"/>
      </w:pPr>
      <w:r>
        <w:t>Regeste</w:t>
      </w:r>
    </w:p>
    <w:p>
      <w:r>
        <w:t>INDICE, CONTRAINTE{DROIT PÉNAL}, GESTION DÉLOYALE | 158 ch. 1 al. 1 CP, 181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En l'occurrence, l’ordonnance attaquée a été adressée au plaignant le 10 octobre 2013 (PV des opérations, p. 2) et est réputée avoir été reçue le mercredi 16 octobre suivant selon l’allégué crédible de la partie. Interjeté le 25 octobre 2013, le recours l’a ainsi été en temps utile auprès de l'autorité compétente, par la partie plaignante qui a qualité pour recourir (art. 382 al. 1 CPP). Le recours est dès lors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w:t>
      </w:r>
    </w:p>
    <w:p>
      <w:r>
        <w:rPr>
          <w:b/>
        </w:rPr>
        <w:t>E. 3</w:t>
      </w:r>
    </w:p>
    <w:p>
      <w:r>
        <w:t>Le recourant estime tout d'abord que c'est à tort que le Ministère public a considéré que les éléments constitutifs de l'art. 158 CP (Code pénal suisse du 21 décembre 1937, RS 311.0) n'étaient pas réunis. Il fait valoir en particulier l'obligation qu'avait K.________, comme architecte, de veiller à ses intérêts. Pour sa part, l'intimé conteste avoir eu une position de gérant par rapport au plaignant. a)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Sur le plan objectif, l'infraction de gestion déloyale suppose la réalisation de trois éléments: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e éd., Berne 2010, n. 13 ad art. 158 CP). L'infraction de gestion déloyale ne peut être commise que par une personne qui revêt la qualité de gérant; il s’agit d’un élément constitutif objectif de l’infraction. Selon la jurisprudence, il s'agit d'une personne à qui incombe, de fait ou formellement, la responsabilité d'administrer un complexe patrimonial non négligeable dans l'intérêt d'autrui (ATF 129 IV 124 c.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 3b p. 21). Un tel devoir incombe notamment aux organes des sociétés commerciales, à savoir aux membres du conseil d'administration et à la direction, ainsi qu'aux organes de fait (TF 6B_728/2012 du 18 février 2013 c. 2.1 in fine et les références). b) En l'espèce, G.________ a acquis un appartement en construction pour lequel diverses prestations étaient prévues et des travaux d'adaptation individuels possibles. Dans sa décision, le procureur n'a toutefois pas distingué, s'agissant des travaux litigieux, lesquels étaient compris dans le prix forfaitaire lié à l'achat de l'appartement et lesquels faisaient l'objet de plus-values et avaient été commandés spécialement par le maître d'oeuvre. En l'occurrence, les travaux auxquels le plaignant fait référence n'étaient pas compris dans le prix de vente de l'immeuble. Dans un tel contexte, et contrairement à ce que soutient le prévenu, ce dernier était effectivement tenu de veiller aux intérêts du plaignant au sens de l'art. 158 CP. En effet, selon le descriptif technique figurant en annexe du contrat d'entreprise signé le 14 mars 2011, les acquéreurs avaient l'obligation de mandater le bureau d'architecte de K.________ pour toutes les études et les travaux d'adaptation. Il en découle que l'existence d'un contrat de mandat semble pouvoir être admise entre le plaignant et le bureau d'architecte du prévenu. Celui-ci paraît ainsi avoir assumé une obligation de gestion en ce qui concerne les travaux à plus-value et entrer de ce fait dans le champ d'application de l'art. 158 CP. A cet égard, le prévenu n'a pas contesté avoir bénéficié de rabais ou de ristournes des entreprises concernées et il n'est ainsi pas exclu que, ce faisant, il ait fait subir au plaignant un préjudice en abusant de son pouvoir de gestion. Le recours doit dès lors être admis pour ce motif déjà.</w:t>
      </w:r>
    </w:p>
    <w:p>
      <w:r>
        <w:rPr>
          <w:b/>
        </w:rPr>
        <w:t>E. 4</w:t>
      </w:r>
    </w:p>
    <w:p>
      <w:r>
        <w:t>Le recourant reproche aussi au procureur d'avoir considéré que les éléments constitutifs de l'infraction de contrainte (art. 181 CP) n'étaient pas réalisés faute pour G.________ d'avoir été menacé de la survenance d'un dommage sérieux dès lors que, en tant que propriétaire des lieux, rien ne pouvait l'empêcher de rentrer dans son appartement. a)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ATF 129 IV 6 c. 3.4;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ATF 120 IV 17 c. 2a/aa). Sur le plan subjectif, il faut que l’auteur ait agi avec conscience et volonté, soit au moins qu’il ait accepté l’éventualité que le procédé illicite employé entrave le destinataire dans sa liberté de décision (ATF 120 IV 17 c. 2c; TF 6B_38/2011 du 26 avril 2011 c. 2.2.1). b) La question de la réalisation des conditions de la contrainte peut se poser en l'espèce car, à la lecture des diverses pièces du dossier, il appert que le prévenu a exercé une forte pression sur le plaignant pour qu'il s'acquitte du solde du coût facturé en lien avec les travaux à plus-value. Comme le souligne le recourant, il se trouvait dans une situation particulière : il avait vendu son ancien logement et sa compagne était enceinte (cf. recours, p. 11). Ainsi, il ne pouvait se permettre d'attendre et avait absolument besoin des clés conservées par K.________, qui donnaient accès non seulement à son nouvel appartement mais également à l'immeuble. Certes, le décompte définitif des travaux à plus ou à moins-value prévoyait que le solde à payer devait être versé avant la remise des clés (P. 7 produite par le recourant), mais ce document n'est pas signé par le plaignant. On peut aussi s'interroger sur la légitimité de telles clauses, souvent insérées par les promoteurs dans les contrats, dès lors qu'une telle rétention pourrait être de nature à soumettre une partie contractante à l'arbitraire du créancier (cf. art. 20 CO; ATF 115 IV 207 c. 2, JT 1991 IV 75). Dans ces circonstances, on peut sérieusement se demander si le prévenu n'a pas usé de contrainte à l'égard du plaignant en exerçant une rétention sur ses clés aussi longtemps qu'il ne s'était pas acquitté de la facture finale relative aux travaux à plus-value. L'instruction doit dès lors être complétée sur cette question et le recours admis sur ce point également.</w:t>
      </w:r>
    </w:p>
    <w:p>
      <w:r>
        <w:rPr>
          <w:b/>
        </w:rPr>
        <w:t>E. 5</w:t>
      </w:r>
    </w:p>
    <w:p>
      <w:r>
        <w:t>En définitive, le recours doit être admis, l'ordonnance de classement du 1 er octobre 2013 annulée et le dossier de la cause renvoyé au Procureur de l'arrondissement de La Côte pour qu'il procède dans le sens des considérants et rende une nouvelle décision. S'agissant des dépens réclamés par le recourant, il lui appartiendra de faire valoir ses prétentions à la fin de la procédure, auprès de l'autorité pénale compétente selon l'art. 433 al. 2 CPP (CREP 16 avril 2013/279 c. 4 et les réf. cit.). Enfin, les frais de la procédure de recours, constitués en l’espèce de l’émolument d'arrêt, par 990 fr. (art. 20 al. 1 TFJP [Tarif des frais judiciaires pénaux du 28 septembre 2010; RSV 312.03.1]), seront mis à la charge de K.________, qui a conclu au rejet du recours et qui succombe (art. 428 al. 1 CPP). Par ces motifs, la Chambre des recours pénale, statuant à huis clos, prononce : I. Le recours est admis. II. L'ordonnance du 1 er octobre 2013 est annulée. III . Le dossier de la cause est renvoyé au Procureur de l'arrondissement de La Côte pour qu'il procède dans le sens des considérants, puis rende une nouvelle décision. IV. Les frais d'arrêt, par 990 fr. (neuf cent nonante francs), sont mis à la charge de K.________. V. Le présent arrêt est exécutoire. Le président :               La greffière : Du L'arrêt qui précède, dont la rédaction a été approuvée à huis clos, est notifié, par l'envoi d'une copie complète, à : - Me Thomas Collomb, avocat (pour G.________), - Me Eric Ramel, avocat (pour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