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277 vom 19. Februar 2014</w:t>
      </w:r>
    </w:p>
    <w:p>
      <w:r>
        <w:t>VD Tribunal cantonal, 2014-02-19, FR</w:t>
      </w:r>
    </w:p>
    <w:p>
      <w:r>
        <w:rPr>
          <w:b/>
        </w:rPr>
        <w:t xml:space="preserve">Quelle: </w:t>
      </w:r>
      <w:r>
        <w:t>https://mcp.opencaselaw.ch/entscheid/vd_findinfo_D_cision___2014___277</w:t>
      </w:r>
    </w:p>
    <w:p>
      <w:r>
        <w:t>FR: VD_FINDINFO Décision / 2014 / 277 du 19 février 2014</w:t>
      </w:r>
    </w:p>
    <w:p>
      <w:r>
        <w:t>IT: VD_FINDINFO Décision / 2014 / 277 del 19 febbraio 2014</w:t>
      </w:r>
    </w:p>
    <w:p>
      <w:pPr>
        <w:pStyle w:val="Heading2"/>
      </w:pPr>
      <w:r>
        <w:t>Regeste</w:t>
      </w:r>
    </w:p>
    <w:p>
      <w:r>
        <w:t>INDEMNITÉ ÉQUITABLE, PRINCIPE DE LA BONNE FOI, CLASSEMENT DE LA PROCÉDURE, PRÉVENU, DÉPENS | 429 al. 1 let. a CPP (CH)</w:t>
      </w:r>
    </w:p>
    <w:p>
      <w:pPr>
        <w:pStyle w:val="Heading2"/>
      </w:pPr>
      <w:r>
        <w:t>Erwägungen</w:t>
      </w:r>
    </w:p>
    <w:p>
      <w:r>
        <w:rPr>
          <w:b/>
        </w:rPr>
        <w:t>E. 1</w:t>
      </w:r>
    </w:p>
    <w:p>
      <w:r>
        <w:t>a) Une décision refusant une indemnité au sens de l'art. 429 CPP peut être attaquée auprès de l’autorité de recours (Wehrenberg/Bernhard, in: Niggli/Heer/Wiprächtiger (éd.), Basler Kommentar, Schweizerische Strafprozessordnung, Jugendstrafprozessordnung, Bâle 2011, n. 33 ad art. 429 CPP; Mizel/Rétornaz, in: Kuhn/Jeanneret (éd.), Commentaire romand, Code de procédure pénale suisse, Bâle 2011, n. 62 ad art. 429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 173.01]). En l’espèce, déposé en temps utile devant l’autorité compétente par la prévenue libérée qui a qualité pour recourir contre la décision refusant son indemnité, le recours est recevable. b) Lorsque, comme en l’espèce, le recours porte uniquement sur les conséquences économiques accessoires d'une décision, notion qui englobe l’indemnité de l’art. 429 al. 1 let. a CPP (Stephenson/Thiriet, in : Niggli/Heer/Wiprächtiger (éd.), op. cit., n. 5 ad art. 395 CPP, p. 2628 ; Juge unique CREP 14 février 2012/79) et que le montant litigieux ne dépasse pas 5'000 fr., un juge de l’autorité de céans statue comme juge unique (art. 395 let. b CPP et 13 al. 2 LVCPP [loi cantonale du 19 mai 2009 d’introduction du code de procédure pénale suisse; RSV 312.01]; cf. entre autres CREP 7 janvier 2014/7).</w:t>
      </w:r>
    </w:p>
    <w:p>
      <w:r>
        <w:rPr>
          <w:b/>
        </w:rPr>
        <w:t>E. 2</w:t>
      </w:r>
    </w:p>
    <w:p>
      <w:r>
        <w:t>a) En vertu de l’art. 429 al. 1 CPP, le prévenu acquitté partiellement ou totalement a le droit à une indemnité notamment pour les dépenses occasionnées par l'exercice raisonnable de ses droits de procédure (let. a). L'alinéa 2 prévoit que l'autorité pénale examine d'office les prétentions du prévenu. Il résulte de cette disposition qu'il incombe à l'autorité pénale, à tout le moins, d'interpeller le prévenu sur cette question et, comme le prévoit la loi, de l'enjoindre au besoin à chiffrer et justifier ses prétentions en indemnisation (cf. TF 1B_475/2011 du 11 janvier 2012 c. 2.2 et 2.3). En l’espèce, il ne ressort pas du dossier que le préfet aurait interpellé la prévenue libérée sur ses éventuelles prétentions en indemnité. b) Selon la jurisprudence, l’autorité pénale doit traiter la question des prétentions en indemnité au moment de rendre sa décision libératoire au fond, qu’il s’agisse d’un jugement d’un tribunal de première instance ou d’une ordonnance de classement du ministère public ou d’une autorité pénale compétente en matière de contraventions. Il a été précisé que la violation par l’autorité de l’examen d’office auquel elle était tenue selon l’art. 429 al. 2 CPP ne pouvait avoir pour conséquence de priver le recourant de son droit à une indemnisation, le principe de la bonne foi impliquant que celui-ci n’ait pas à subir de préjudice en raison de l’erreur de l’autorité de jugement (cf. TF 6B_472/2012 du 13 novembre 2012 c. 2.4). Il en résulte qu’une requête en indemnisation peut être déposée séparément, lorsque l’autorité compétente a omis de statuer à cet égard. Le Tribunal fédéral a toutefois réservé une négligence procédurale grossière du recourant ou de son avocat, seule à même de faire échec au principe de la bonne foi (TF 6B_472/2012 du 13 novembre 2012 c. 2.4, précité ; ATF 138 I 49 c. 8.3.1). c) En l’espèce, la compagnie d’assurance de protection juridique de la recourante, qui compte en son sein des juristes et des avocats brevetés, devrait être familière des procédures du genre de celle qui fait l’objet du présent arrêt et qui n’a rien de particulièrement complexe ; elle n’a pourtant pas attaqué l’ordonnance de classement du 28 février 2012 en faisant observer que l’occasion n’avait pas été donnée à sa mandante de faire valoir d’éventuelles prétentions au sens de l’art. 429 al. 1 let. a CPP. Surtout, elle a attendu le 9 décembre 2013, soit presque deux ans, pour se manifester auprès du préfet et solliciter de sa part une indemnité, alors même que la nouvelle procédure pénale unifiée était en vigueur depuis près de trois ans et que le Tribunal fédéral avait déjà clarifié la situation en publiant de la jurisprudence à ce sujet. Un tel retard contrevient au principe de la bonne foi en procédure (cf. art. 5 al. 3 Cst. [Constitution fédérale de la Confédération suisse du 18 avril 1999 ; RS 101] ; ATF 135 III 334  c.2.2). En effet, de même que celui qui requiert la récusation d’un magistrat doit, pour ne pas contrevenir au principe de la bonne foi, présenter sa demande sans délai (cf. art. 58 al. 1 CPP ; ATF 134 I 20 c. 4.3.1) ou qui, au civil, doit, pour se conformer au principe de la bonne foi en procédure (art. 52 CPC), se prévaloir immédiatement de ses moyens (cf. Bohnet in : Bohnet/Haldy/Jeandin/Schweizer/Tappy (éd), Code de procédure civile commenté, Bâle 2011, n. 28 ad art 52 CPC et les références citées), de même, il appartient à celui qui, assisté d’un compagnie d’assurance de protection juridique, prétend à une indemnité fondée sur l’art. 429 al. 1 let. a CPP d’intervenir sans tarder auprès de l’autorité compétente en cas d’omission de sa part. La solution contraire reviendrait à laisser la possibilité à une partie d’attaquer pratiquement indéfiniment une décision de justice, en particulier à laisser indéfiniment en suspens, alors qu’elle devrait être réglée au moment du jugement au fond, la question de l’indemnisation du prévenu libéré. Cela battrait en brèche le principe de la sécurité du droit d’une manière qui n’est pas admissible. d) Il résulte de ce qui précède que la requête en indemnisation adressée au préfet était tardive au regard du principe de la bonne foi, si bien que la recourante ne peut invoquer ce principe en sa faveur. Il n’y avait dont pas à donner une suite favorable à sa requête, sans qu’il y ait lieu d’examiner si c’est à raison que le préfet l’a rejetée sur le fond.</w:t>
      </w:r>
    </w:p>
    <w:p>
      <w:r>
        <w:rPr>
          <w:b/>
        </w:rPr>
        <w:t>E. 3</w:t>
      </w:r>
    </w:p>
    <w:p>
      <w:r>
        <w:t>En définitive, le recours, manifestement mal fondé, doit être rejeté sans autres échanges d’écritures (art. 390 al. 2 CPP) et l’ordonnance attaquée confirmée. Les frais de la procédure de recours, constitués en l’espèce de l’émolument d’arrêt (art. 422 al. 1 CPP), par 540 fr. (art. 20 al. 1 TFJP [Tarif des frais judiciaires pénaux; RSV 312.03.1]), seront mis à la charge de la recourante, qui succombe (art. 428 al. 1 CPP). Par ces motifs, la Chambre des recours pénale, statuant à huis clos, prononce : I. Le recours est rejeté. II. L’ordonnance du 12 décembre 2013 est confirmée. III. Les frais d’arrêt, par 540 fr. (cinq cent quarante francs), sont mis à la charge de U.________. IV. Le présent arrêt est exécutoire. Le juge :               Le greffier : Du L'arrêt qui précède, dont la rédaction a été approuvée à huis clos, est notifié, par l'envoi d'une copie complète, à : - M. Marcel Waser, avocat (pour U.________), - Ministère public central, et communiqué à : -              M. le Préfet du district d’Aigle (réf. AIG/01/12/0000308),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