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275 vom 20. März 2014</w:t>
      </w:r>
    </w:p>
    <w:p>
      <w:r>
        <w:t>VD Tribunal cantonal, 2014-03-20, FR</w:t>
      </w:r>
    </w:p>
    <w:p>
      <w:r>
        <w:rPr>
          <w:b/>
        </w:rPr>
        <w:t xml:space="preserve">Quelle: </w:t>
      </w:r>
      <w:r>
        <w:t>https://mcp.opencaselaw.ch/entscheid/vd_findinfo_D_cision___2014___275</w:t>
      </w:r>
    </w:p>
    <w:p>
      <w:r>
        <w:t>FR: VD_FINDINFO Décision / 2014 / 275 du 20 mars 2014</w:t>
      </w:r>
    </w:p>
    <w:p>
      <w:r>
        <w:t>IT: VD_FINDINFO Décision / 2014 / 275 del 20 marzo 2014</w:t>
      </w:r>
    </w:p>
    <w:p>
      <w:pPr>
        <w:pStyle w:val="Heading2"/>
      </w:pPr>
      <w:r>
        <w:t>Regeste</w:t>
      </w:r>
    </w:p>
    <w:p>
      <w:r>
        <w:t>RISQUE DE COLLUSION, RISQUE DE FUITE, DÉTENTION PROVISOIRE, MESURE DE SUBSTITUTION À LA DÉTENTION, PROPORTIONNALITÉ | 221 al. 1 let. a CPP (CH), 221 al. 1 let. b CPP (CH), 221 CPP (CH), 222 CPP (CH), 237 CPP (CH), 393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 2; Schmocker, in : Kuhn/Jeanneret (éd.), Commentaire romand, Code de procédure pénale suisse, Bâle 2011, nn. 7 ss ad art. 221 CPP). b) En l’espèce, le recourant a admis avoir détourné, de 2008 à 2013, entre 200'000 et 300'000 fr. au préjudice de son ancien employeur (PV d’arrestation, p. 2). Par ailleurs, les faits qui lui sont reprochés sont corroborés par plusieurs pièces au dossier. Il existe donc de sérieux soupçons de culpabilité à l’encontre de F.________, ce qui n’est à juste titre pas contesté.</w:t>
      </w:r>
    </w:p>
    <w:p>
      <w:r>
        <w:rPr>
          <w:b/>
        </w:rPr>
        <w:t>E. 3</w:t>
      </w:r>
    </w:p>
    <w:p>
      <w:r>
        <w:t>Le recourant conteste l’existence d’un risque de fuite. a)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 4a p. 70 et la jurisprudence citée). La gravité de l'infraction ne peut pas, à elle seule, justifier la prolongation de la détention, même si elle permet souvent de présumer un danger de fuite en raison de l'importance de la peine dont le prévenu est menacé (TF 1B_145/2012 du 19 avril 2012 c.</w:t>
      </w:r>
    </w:p>
    <w:p>
      <w:r>
        <w:rPr>
          <w:b/>
        </w:rPr>
        <w:t>E. 3.1</w:t>
      </w:r>
    </w:p>
    <w:p>
      <w:r>
        <w:t>et les références citées). b) En l’espèce, le recourant soutient qu’il n’a pas l’intention de s’enfuir au Togo, son pays d’origine. Néanmoins, ce dernier, même s’il n’a plus de papiers d’identité togolais, dispose d’un passeport suisse. Par ailleurs, il est propriétaire, avec ses frères et sœurs, de deux maisons au Togo et séjourne régulièrement dans ce pays, son dernier voyage datant de décembre 2013. De surcroît, il possède des actions pour quelques milliers de francs dans une banque locale. Sur le plan familial, le recourant est séparé de son épouse, à qui la garde de leurs deux enfants a été confiée. Enfin, c’est par le biais d’un signalement RIPOL que le prévenu a pu être interpellé, celui-ci n’ayant pas donné suite aux convocations de la police. S’il peut certes être donné acte au recourant de sa bonne collaboration à compter de son arrestation, il n’en demeure pas moins qu’au vu des éléments qui précèdent et des charges qui pèsent sur lui, le risque de fuite est non seulement possible, mais également probable.</w:t>
      </w:r>
    </w:p>
    <w:p>
      <w:r>
        <w:rPr>
          <w:b/>
        </w:rPr>
        <w:t>E. 4</w:t>
      </w:r>
    </w:p>
    <w:p>
      <w:r>
        <w:t>Le recourant conteste l’existence d’un risque de collusion. a) Selon la jurisprudence du Tribunal fédéral,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qu’il existe un risque de collusion concret en ce sens que les circonstances particulières de l’espèce doivent faire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l’instruction en est à ses débuts et l’étendue de l’activité délictueuse du recourant doit encore être établie. En particulier, le Procureur a indiqué que plusieurs personnes devaient être identifiées et entendues, notamment les employés de la succursale de la Banque [...], dont certains entretenaient des liens étroits avec le prévenu. A ce stade des investigations, il est ainsi à craindre que le recourant, s’il devait être immédiatement libéré, ne compromette la recherche de la vérité en prenant contact avec des témoins ou en faisant disparaître des preuves. Le risque de collusion s'oppose donc également à la levée de la détention provisoire de F.________.</w:t>
      </w:r>
    </w:p>
    <w:p>
      <w:r>
        <w:rPr>
          <w:b/>
        </w:rPr>
        <w:t>E. 5</w:t>
      </w:r>
    </w:p>
    <w:p>
      <w:r>
        <w:t>Le recourant fait grief à l’autorité inférieure d’avoir violé le principe de proportionnalité, dès lors que sa détention provisoire le priverait d’un revenu lui permettant de subvenir à ses besoins et à ceux de ses enfants. Il estime que des mesures de substitution, telles que le dépôt de documents officiels, l’assignation à domicile ou l’obligation de se présenter régulièrement à un poste de police, seraient à même de prévenir tout éventuel risque de fuite ou de collusion. a) En application du principe de proportionnalité,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 substitution prévues à l'art. 237 al. 2 CPP sont donc un succédané à la détention provisoire poursuivant le même objectif, tout en étant moins sévères (Schmocker, in : Kuhn/Jeanneret (éd.), op. 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 ultima ratio (ibidem). b) En l’occurrence, le recourant est sans emploi depuis décembre 2013. Au moment de son arrestation, il n’était pas encore inscrit au chômage. Sa situation financière actuelle est dès lors identique à celle qui prévalait avant son interpellation. Enfin, le prévenu peut entreprendre des démarches pour trouver un travail depuis la prison. Dans ces conditions, quand bien même sa détention provisoire l’empêche d’avoir un revenu pour subvenir aux besoins de sa famille, le principe de la proportionnalité demeure respecté. Au surplus, à ce stade précoce de l’instruction, les mesures de substitution proposées par le recourant sont insuffisantes pour prévenir efficacement tout risque de fuite et de collusion. Il n'existe donc en l'état aucun succédané adéquat à la détention provisoire.</w:t>
      </w:r>
    </w:p>
    <w:p>
      <w:r>
        <w:rPr>
          <w:b/>
        </w:rPr>
        <w:t>E. 6</w:t>
      </w:r>
    </w:p>
    <w:p>
      <w:r>
        <w:t>a) Selon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F.________ a été appréhendé le 4 mars 2014. Au vu de la gravité des charges qui pèsent sur lui, la durée de sa détention provisoire demeure proportionnée à la peine à laquelle il s'expose concrètement en cas de condamnation.</w:t>
      </w:r>
    </w:p>
    <w:p>
      <w:r>
        <w:rPr>
          <w:b/>
        </w:rPr>
        <w:t>E. 7</w:t>
      </w:r>
    </w:p>
    <w:p>
      <w:r>
        <w:t>En définitive, le recours, manifestement mal fondé, doit être rejeté sans autres échanges d’écritures (art. 390 al. 2 CPP) et l'ordonnance entreprise confirmée. Les frais de la procédure de recours, constitués en l’espèce de l’émolument d'arrêt, par 770 fr. (art. 20 al. 1 TFJP [tarif des frais judiciaires pénaux;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du 6 mars 2014 est confirmée. III. L'indemnité allouée au défenseur d'office du recourant est fixée à 583 fr. 20 (cinq cent huitante-trois francs et vingt centimes). IV. Les frais d'arrêt, par 770 fr. (sept cent septante francs), ainsi que l'indemnité due au défenseur d'office du recourant, par 583 fr. 20 (cinq cent huitante-trois francs et vingt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Me Fabien Hohenauer, avocat (pour F.________), - Ministère public central, et communiqué à : ‑ M. le Président du Tribunal des mesures de contrainte, - M. le Procureur de l’arrondissement de l’Est vaudois, - Me Miriam Mazou, avocate (pour M.________ SA),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