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273 vom 28. März 2013</w:t>
      </w:r>
    </w:p>
    <w:p>
      <w:r>
        <w:t>VD Tribunal cantonal, 2013-03-28, FR</w:t>
      </w:r>
    </w:p>
    <w:p>
      <w:r>
        <w:rPr>
          <w:b/>
        </w:rPr>
        <w:t xml:space="preserve">Quelle: </w:t>
      </w:r>
      <w:r>
        <w:t>https://mcp.opencaselaw.ch/entscheid/vd_findinfo_D_cision___2014___273</w:t>
      </w:r>
    </w:p>
    <w:p>
      <w:r>
        <w:t>FR: VD_FINDINFO Décision / 2014 / 273 du 28 mars 2013</w:t>
      </w:r>
    </w:p>
    <w:p>
      <w:r>
        <w:t>IT: VD_FINDINFO Décision / 2014 / 273 del 28 marzo 2013</w:t>
      </w:r>
    </w:p>
    <w:p>
      <w:pPr>
        <w:pStyle w:val="Heading2"/>
      </w:pPr>
      <w:r>
        <w:t>Regeste</w:t>
      </w:r>
    </w:p>
    <w:p>
      <w:r>
        <w:t>LIBÉRATION CONDITIONNELLE, PRONOSTIC, RENVOI{DROIT DES ÉTRANGERS} | 86 al. 1 CP, 86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auprès de l’autorité compétente, qu’il satisfait aux conditions de forme posées par l'art. 385 al. 1 CPP et qu'il a été déposé par une partie ayant qualité pour recourir.</w:t>
      </w:r>
    </w:p>
    <w:p>
      <w:r>
        <w:rPr>
          <w:b/>
        </w:rPr>
        <w:t>E. 2</w:t>
      </w:r>
    </w:p>
    <w:p>
      <w:r>
        <w:t>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12 décembre 2013. A l’instar du premier juge, on peut admettre que le comportement de la recourante en détention ne fait pas obstacle à sa libération conditionnelle (prononcé attaqué, p. 1 et 2). Seule est donc litigieuse la question relative au pronostic. A cet égard, la principale difficulté concerne le statut de F.________ en Suisse. La recourante s’oppose à son refoulement et explique vouloir quitter la Suisse pour aller retrouver une amie en France et suivre une formation de traiteur dans ce pays. Elle ne dispose cependant pas de documents lui permettant de séjourner légalement en France, ni d’ailleurs dans d’autres pays d’Europe. Son pays d’origine est le seul dans lequel elle est, en l’état, légitimée à résider. Aussi le pronostic formulé par la Juge d’application des peines apparaît-il bien fondé, à tout le moins dans l’hypothèse où la recourante devrait rester en Suisse après l’octroi de la libération conditionnelle. L’appréciation du risque de récidive conduit toutefois à un résultat différent si l’on subordonne la libération conditionnelle au renvoi de la recourante du territoire suisse. En effet, l’exécution du solde de la peine n’empêcherait pas que la recourante se retrouve dans la situation qui était la sienne lorsqu’elle a commis les infractions ayant conduit à sa condamnation; elle retarderait plutôt la mise à l’épreuve de sa capacité de réinsertion. En revanche, une libération conditionnelle, subordonnée au renvoi de la Suisse au Nigeria, devrait l’inciter à reprendre sa vie en main, tout en offrant l’avantage de l’effet dissuasif. Dans ces conditions, il apparaît que le pronostic serait plus défavorable en cas d’exécution complète de la peine qu’en cas de libération conditionnelle avec renvoi de l’intéressée au Nigeria (CREP 10 janvier 2013/9 ; CREP 14 novembre 2011/488 ; TF 6A.34/2006 du 30 mai 2006 c. 2.1; TF 6A.78/2000 du 3 novembre 2000 c. 2, résumé in BJP 2003, 38 n° 348; Cass., 23 mars 2009/108). La recourante soutient qu’un retour au Nigeria l’exposerait à de sérieux dangers. Elle a de ce fait entrepris des démarches auprès de l’ODM (P. 15) tendant à la reconsidération de la décision de refus d’asile et de renvoi rendue à son endroit le 15 janvier 2010 par cette autorité (cf. lettre A.h supra). Elle a ainsi requis, par voies de mesures provisionnelles, à ce qu’elle soit autorisée à poursuivre son séjour en Suisse jusqu’à droit connu sur sa demande, toute mesure destinée à l’exécution du renvoi devant être suspendue (annexe P. 15, p. 7). On peut ainsi admettre que si cette requête venait à être admise par l’ODM, le pronostic ne pourrait plus être considéré comme défavorable; la recourante bénéficiera alors d’un statut, certes primaire, mais légal en Suisse. Elle pourra en outre bénéficier de l’hébergement et des prétentions de l’EVAM dans le cadre de l’aide d’urgence. En définitive, la Chambre des recours pénale estime que la libération conditionnelle de F.________ doit lui être octroyée avec effet au premier jour utile où son renvoi de Suisse pourra être exécuté, respectivement en cas d’admission par l’ODM de la requête tendant à la suspension de l’exécution du renvoi de l’intéressée jusqu’à droit connu sur sa requête en reconsidération.</w:t>
      </w:r>
    </w:p>
    <w:p>
      <w:r>
        <w:rPr>
          <w:b/>
        </w:rPr>
        <w:t>E. 3</w:t>
      </w:r>
    </w:p>
    <w:p>
      <w:r>
        <w:t>En définitive, le recours doit être partiellement admis et l’ordonnance attaquée réformée dans le sens des considérants qui précèdent. Le défenseur de la recourante requiert en outre sa désignation d’office dans le cadre de la procédure de recours. Or, la désignation d’office de Me Christophe Tafelmacher selon ordonnance du 7 janvier 2014, couvre également les opérations effectuées en deuxième instance (CREP 27 février 2013/107 c. 4b ; CREP 7 février 2013/10 c. 5b). Cette demande est par conséquent sans objet Les frais de la procédure de recours, constitués en l'espèce de l'émolument d'arrêt, par 990 fr. (art. 20 al. 1 TFJP [Tarif des frais judiciaires pénaux du 28 septembre 2010; RSV 312.03.1]), et des frais imputables à la défense d'office (art. 422 al. 1 et 2 let. a CPP), fixés à 720 fr., plus la TVA par 57 fr. 60, soit 777 fr. 60, seront mis par un quart, soit 194 fr. 40, à la charge de la recourante, le solde, par 583 fr. 20, étant laissé à la charge de l’Etat (art. 428 al. 1 CPP). Par ces motifs, la Chambre des recours pénale, statuant à huis clos, prononce : I. Le recours est partiellement admis. II. L’ordonnance du 3 mars 2014 est réformée en ce sens que F.________ est libérée conditionnellement de sa peine au premier jour utile où son renvoi de Suisse pourra être exécuté, respectivement en cas d’admission de la requête d’effet suspensif contenue dans sa requête en reconsidération du 24 février 2014 à l’ODM, un délai d’épreuve d’un an lui étant imparti dès sa libération effective. III. L’ordonnance est confirmée pour le surplus. IV. L’indemnité allouée au défenseur d’office de F.________ est fixée à 777 fr. 60 (sept cent septante-sept francs et soixante centimes). V. Les frais d’arrêt, par 990 fr. (neuf cent nonante francs), ainsi que l’indemnité due au défenseur d’office de F.________ selon le chiffre IV ci-dessus, sont mis par un quart, soit 441 fr. 90 (quatre cent quarante et un francs et nonante centimes), à la charge de cette dernière, le solde, par 1'325 fr. 70 (mille trois cent vingt-cinq francs et septante centimes), étant laissé à la charge de l’Etat. VI. Le remboursement à l’Etat du quart de l’indemnité d’office allouée au chiffre IV ci-dessus, soit 194 fr. 40 (cent nonante-quatre francs et quarante centimes) sera exigible pour autant que la situation économique de F.________ se soit améliorée. VII. L’arrêt est exécutoire. Le président :               La greffière : Du L'arrêt qui précède, dont la rédaction a été approuvée à huis clos, est notifié, par l'envoi d'une copie complète, à : - Me Christophe Tafelmacher, avocat (pour F.________), - Ministère public central, et communiqué à : - Mme la Présidente du Tribunal des mesures de contrainte, - M. le Procureur du Ministère public central, division affaires spéciales, contrôle et mineurs, - Office d’exécution des peines (réf. : PPL/88309/AVI/JR), - Prison de la Tuilière,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