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268 vom 2. April 2014</w:t>
      </w:r>
    </w:p>
    <w:p>
      <w:r>
        <w:t>VD Tribunal cantonal, 2014-04-02, FR</w:t>
      </w:r>
    </w:p>
    <w:p>
      <w:r>
        <w:rPr>
          <w:b/>
        </w:rPr>
        <w:t xml:space="preserve">Quelle: </w:t>
      </w:r>
      <w:r>
        <w:t>https://mcp.opencaselaw.ch/entscheid/vd_findinfo_D_cision___2014___268</w:t>
      </w:r>
    </w:p>
    <w:p>
      <w:r>
        <w:t>FR: VD_FINDINFO Décision / 2014 / 268 du 2 avril 2014</w:t>
      </w:r>
    </w:p>
    <w:p>
      <w:r>
        <w:t>IT: VD_FINDINFO Décision / 2014 / 268 del 2 aprile 2014</w:t>
      </w:r>
    </w:p>
    <w:p>
      <w:pPr>
        <w:pStyle w:val="Heading2"/>
      </w:pPr>
      <w:r>
        <w:t>Regeste</w:t>
      </w:r>
    </w:p>
    <w:p>
      <w:r>
        <w:t>DÉCISION D'IRRECEVABILITÉ, ACTION DE DROIT ADMINISTRATIF CANTONALE | 106 LPA-VD, 94 al. 1 let. a LPA-VD</w:t>
      </w:r>
    </w:p>
    <w:p>
      <w:pPr>
        <w:pStyle w:val="Heading2"/>
      </w:pPr>
      <w:r>
        <w:t>Erwägungen</w:t>
      </w:r>
    </w:p>
    <w:p>
      <w:r>
        <w:rPr>
          <w:b/>
        </w:rPr>
        <w:t>E. 50</w:t>
      </w:r>
    </w:p>
    <w:p>
      <w:r>
        <w:t>et 55 LPA-VD). Par ces motifs, la juge unique prononce : I. La demande est irrecevable. II. Il n’est pas perçu de frais judiciaires ni alloué de dépens. La juge unique :               La greffière : Du La décision qui précède est notifiée à : ‑ C.________, ‑ Office vaudois de l'assurence-maladie,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