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247 vom 11. Dezember 2013</w:t>
      </w:r>
    </w:p>
    <w:p>
      <w:r>
        <w:t>VD Tribunal cantonal, 2013-12-11, FR</w:t>
      </w:r>
    </w:p>
    <w:p>
      <w:r>
        <w:rPr>
          <w:b/>
        </w:rPr>
        <w:t xml:space="preserve">Quelle: </w:t>
      </w:r>
      <w:r>
        <w:t>https://mcp.opencaselaw.ch/entscheid/vd_findinfo_D_cision___2014___247</w:t>
      </w:r>
    </w:p>
    <w:p>
      <w:r>
        <w:t>FR: VD_FINDINFO Décision / 2014 / 247 du 11 décembre 2013</w:t>
      </w:r>
    </w:p>
    <w:p>
      <w:r>
        <w:t>IT: VD_FINDINFO Décision / 2014 / 247 del 11 dicembre 2013</w:t>
      </w:r>
    </w:p>
    <w:p>
      <w:pPr>
        <w:pStyle w:val="Heading2"/>
      </w:pPr>
      <w:r>
        <w:t>Regeste</w:t>
      </w:r>
    </w:p>
    <w:p>
      <w:r>
        <w:t>DÉCISION D'IRRECEVABILITÉ, OPPOSITION TARDIVE | 356 al. 2 CPP (CH), 385 CPP (CH)</w:t>
      </w:r>
    </w:p>
    <w:p>
      <w:pPr>
        <w:pStyle w:val="Heading2"/>
      </w:pPr>
      <w:r>
        <w:t>Erwägungen</w:t>
      </w:r>
    </w:p>
    <w:p>
      <w:r>
        <w:rPr>
          <w:b/>
        </w:rPr>
        <w:t>E. 1</w:t>
      </w:r>
    </w:p>
    <w:p>
      <w:r>
        <w:t>a) Le recours est interjeté contre un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Déposé en temps utile (art. 396 al. 1 CPP) par le condamné, qui a qualité pour recourir (art. 382 al. 1 CPP), le recours est recevable sous ce rapport (cf. CREP, 3 mai 2012/219). b) Toutefois,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le recourant n’a soulevé aucun moyen contre le prononcé du tribunal de police. Il n’a ainsi pas expliqué pour quelle raison son opposition à l’ordonnance pénale ne devrait pas être considérée comme tardive. Z.________ n’ayant pas motivé son acte dans le délai imparti à cet effet, le recours, qui ne satisfait pas aux exigences prévues par l'art. 385 al. 1 CPP, doit être déclaré irrecevable en application de l’art. 385 al. 2 CPP.</w:t>
      </w:r>
    </w:p>
    <w:p>
      <w:r>
        <w:rPr>
          <w:b/>
        </w:rPr>
        <w:t>E. 2</w:t>
      </w:r>
    </w:p>
    <w:p>
      <w:r>
        <w:t>Supposé recevable, il devrait  de toute manière être rejeté pour les motifs suivants. a)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Les délais fixés en jours commencent à courir le jour qui suit leur notification ou l’événement qui les déclenche (art. 90 al. 1 CPP). Si le dernier jour du délai est un samedi, un dimanche, ou un jour férié selon le droit fédéral ou cantonal, le délai expire le premier jour ouvrable qui suit (art. 90 al. 2 CPP). b) En l'espèce, l'ordonnance pénale litigieuse a été rendue le 3 octobre 2013 et notifiée le même jour à Z.________ par pli  recommandé. L’intéressé a retiré l’envoi le 9 octobre 2013, selon le suivi électronique des envois de La Poste (P. 7). Le délai pour former opposition, qui a commencé à courir le jeudi 10 octobre 2013 et dont le dernier jour tombait le samedi 19 octobre 2013, est donc arrivé à échéance le lundi 21 octobre 2013. Mise à la poste le surlendemain, l’opposition est tardive, comme l'a constaté à juste titre le tribunal de police.</w:t>
      </w:r>
    </w:p>
    <w:p>
      <w:r>
        <w:rPr>
          <w:b/>
        </w:rPr>
        <w:t>E. 3</w:t>
      </w:r>
    </w:p>
    <w:p>
      <w:r>
        <w:t>En définitive, le recours doit être déclaré irrecevable. Les frais de la procédure de recours, constitués en l’espèce du seul émolument d'arrêt (art. 422 al. 1 CPP), par 440 fr. (art. 20 al. 1 TFJP [tarif des frais judiciaires pénaux; RSV 312.03.1]) seront exceptionnellement laissés à la charge de l’Etat, vu la situation financière du recourant (cf. art. 425 CPP). Par ces motifs, la Chambre des recours pénale, statuant à huis clos, prononce : I. Le recours est irrecevable. II. Les frais d’arrêt, par 440 fr. (quatre cent quarante francs), sont laissés à la charge de l’Etat. III. Le présent arrêt est exécutoire. Le président :               Le greffier : Du L'arrêt qui précède, dont la rédaction a été approuvée à huis clos, est notifié, par l'envoi d'une copie complète, à : - M. Z.________,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