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243 vom 13. März 2014</w:t>
      </w:r>
    </w:p>
    <w:p>
      <w:r>
        <w:t>VD Tribunal cantonal, 2014-03-13, FR</w:t>
      </w:r>
    </w:p>
    <w:p>
      <w:r>
        <w:rPr>
          <w:b/>
        </w:rPr>
        <w:t xml:space="preserve">Quelle: </w:t>
      </w:r>
      <w:r>
        <w:t>https://mcp.opencaselaw.ch/entscheid/vd_findinfo_D_cision___2014___243</w:t>
      </w:r>
    </w:p>
    <w:p>
      <w:r>
        <w:t>FR: VD_FINDINFO Décision / 2014 / 243 du 13 mars 2014</w:t>
      </w:r>
    </w:p>
    <w:p>
      <w:r>
        <w:t>IT: VD_FINDINFO Décision / 2014 / 243 del 13 marzo 2014</w:t>
      </w:r>
    </w:p>
    <w:p>
      <w:pPr>
        <w:pStyle w:val="Heading2"/>
      </w:pPr>
      <w:r>
        <w:t>Regeste</w:t>
      </w:r>
    </w:p>
    <w:p>
      <w:r>
        <w:t>DÉTENTION POUR DES MOTIFS DE SÛRETÉ, RISQUE DE RÉCIDIVE | 221 al. 1 let. c CPP (CH), 227 al. 7 CPP (CH), 229 al. 3 let. b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par le détenu devant l’autorité compétente et satisfait aux conditions de forme posées par l’art. 385 al. 1 CPP.</w:t>
      </w:r>
    </w:p>
    <w:p>
      <w:r>
        <w:rPr>
          <w:b/>
        </w:rPr>
        <w:t>E. 2</w:t>
      </w:r>
    </w:p>
    <w:p>
      <w:r>
        <w:t>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l’art. 212 al. 3 CPP, la détention provisoire et la détention pour des motifs de sûreté ne doivent pas durer plus longtemps que la peine privative de liberté prévisible. b)              La mise en détention provisoire, respectivement pour des motifs de sûreté, n’est possible que s’il existe, préalablement à toute autre cause, de graves soupçons de culpabilité d’avoir commis un crime ou un délit à l’égard de l’auteur présumé (ATF 139 IV 186 c. 2; Schmocker, in : Kuhn/Jeanneret [éd.], Commentaire romand, Code de procédure pénale suisse, Bâle 2011, nn. 7 ss ad art. 221 CPP, pp. 1024 ss). c) Ensuite,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réitération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 Jeanneret [éd.], op. cit., n. 20 ad art. 221 CPP). La prévention du risque de récidive doit permettre de faire prévaloir l'intérêt à la sécurité publique sur la liberté personnelle du prévenu (ATF 137 IV 13 c. 4.5).</w:t>
      </w:r>
    </w:p>
    <w:p>
      <w:r>
        <w:rPr>
          <w:b/>
        </w:rPr>
        <w:t>E. 3</w:t>
      </w:r>
    </w:p>
    <w:p>
      <w:r>
        <w:t>a)              En l’espèce, c’est à juste titre que le recourant ne conteste pas, du moins matériellement, les soupçons pesant à son encontre. Bien plutôt, il admet l’essentiel des actes incriminés. En revanche, il nie tout risque de réitération. C’est ce péril, tenu pour avéré, qui constitue le motif retenu par le premier juge à l’appui de la détention pour des motifs de sûreté. b)              Le prévenu n’a pas d’antécédent pénal, pas plus qu’il n’est dans le déni de ses actes, de sa pathologie ou de ses besoins de soins. Ce sont ces éléments favorables qui permettent aux experts de considérer que le risque de réitération est statistiquement faible (P. 101 et 85/2, ad question 3, déjà citée). Il n’en reste cependant pas moins que l’infraction dont a à répondre le prévenu est grave. En outre, son parcours et sa personnalité sont inquiétants, car marqués par l’instabilité malgré l’obtention d’un CFC d’employé de commerce et la réussite à la maturité. Il apparaît que la pathologie mentale n’a jamais connu une rémission prolongée. En particulier, le prévenu a dû abandonner un stage professionnel en 2010 car il présentait des hallucinations acoustiques et verbales, ainsi que des idées de persécution et un comportement qualifié de «très désorganisé» par les experts; d’autres épisodes similaires s’ensuivirent, jusqu’à nécessiter des hospitalisations psychiatriques, y compris d’office (cf. l’anamnèse exposée par l’expertise, spéc. pp. 5 s.). Qui plus est, les experts relèvent que l’intéressé a besoin d’un encadrement résidentiel de type psychiatrique, l’expertisé ne paraissant pas disposer des ressources pour vivre seul. Or il apparaît que la pathologie psychiatrique du prévenu, qui revêt une forme floride par moments, pourrait avoir joué un rôle dans les actes incriminés. Dans ces circonstances, l’existence d’un risque de réitération par des crimes ou des délits graves contre l’intégrité sexuelle, de nature à compromette sérieusement la sécurité d’autrui, doit être admise, ce d’autant que la défense ne précise pas même où le recourant, qui a vécu en foyer depuis la fin de son adolescence, pourrait séjourner s’il venait à être libéré. c)              Pour le reste, les mesures de substitution ordonnées par le premier juge, conformes aux recommandations des experts, s’avèrent parfaitement adaptées. Il suffit dès lors d’y renvoyer. d)              Enfin, le principe de la proportionnalité est respecté, eu égard au rapport entre la durée de la détention avant jugement déjà subie, respectivement encore à subir jusqu’au 23 juin 2014, et la quotité de la peine privative de liberté dont le prévenu paraît passible (ATF 133 I 168 c. 4.1; ATF 132 I 21 c. 4.1; TF 1B_411/2011 du 31 août 2011 c. 4.1). En particulier, la durée de la détention prononcée, qui excède trois mois, paraît justifiée dès lors que l’audience de jugement est fixée au 16 juin 2014 (art. 227 al. 7 CPP, par renvoi de l’art. 229 al. 3 let. b CPP).</w:t>
      </w:r>
    </w:p>
    <w:p>
      <w:r>
        <w:rPr>
          <w:b/>
        </w:rPr>
        <w:t>E. 4</w:t>
      </w:r>
    </w:p>
    <w:p>
      <w:r>
        <w:t>Il résulte de ce qui précède que c’est à bon droit que le Tribunal des mesures de contrainte a ordonné la détention pour des motifs de sûreté du prévenu selon les modalités prévues par l’ordonnance attaquée. Partant, le recours, manifestement mal fondé, doit être rejeté sans autre échange d’écritures (art. 390 al. 2 CPP) et l’ordonnance attaquée confirmée. Les frais de la procédure de recours, constitués en l’espèce de l'émolument d'arrêt (art. 422 al. 1 CPP), par 990 fr. (art. 20 al. 1 TFJP [tarif des frais judiciaires pénaux; RSV 312.03.1]), et des frais imputables à la défense d’office (art. 422 al. 1 et 2 let. a CPP), fixés à 720 fr. plus la TVA, par 57 fr. 60 fr., soit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28 février 2014 est confirmée. III. L'indemnité allouée au défenseur d'office de M.________ est fixée à 777 fr. 60 (sept cent septante-sept francs et soixante centimes). IV. Les frais du présent arrêt, par 990 fr. (neuf cent nonante francs), ainsi que l’indemnité due au défenseur d’office du recourant selon le chiffre III ci-dessus, sont mis à la charge de M.________. V. Le remboursement à l'Etat de l'indemnité allouée au chiffre III ci-dessus sera exigible pour autant que la situation économique de M.________ se soit améliorée. VI. Le présent arrêt est exécutoire. Le président : Le greffier : Du L'arrêt qui précède, dont la rédaction a été approuvée à huis clos, est notifié, par l'envoi d'une copie complète, à : - Me Mathilde Bessonnet, avocate (pour M.________), - Ministère public central, et communiqué à : - Mme la Présidente du Tribunal des mesures de contrainte, - M. le Président du Tribunal d'arrondissement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