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241 vom 14. Februar 2014</w:t>
      </w:r>
    </w:p>
    <w:p>
      <w:r>
        <w:t>VD Tribunal cantonal, 2014-02-14, FR</w:t>
      </w:r>
    </w:p>
    <w:p>
      <w:r>
        <w:rPr>
          <w:b/>
        </w:rPr>
        <w:t xml:space="preserve">Quelle: </w:t>
      </w:r>
      <w:r>
        <w:t>https://mcp.opencaselaw.ch/entscheid/vd_findinfo_D_cision___2014___241</w:t>
      </w:r>
    </w:p>
    <w:p>
      <w:r>
        <w:t>FR: VD_FINDINFO Décision / 2014 / 241 du 14 février 2014</w:t>
      </w:r>
    </w:p>
    <w:p>
      <w:r>
        <w:t>IT: VD_FINDINFO Décision / 2014 / 241 del 14 febbraio 2014</w:t>
      </w:r>
    </w:p>
    <w:p>
      <w:pPr>
        <w:pStyle w:val="Heading2"/>
      </w:pPr>
      <w:r>
        <w:t>Regeste</w:t>
      </w:r>
    </w:p>
    <w:p>
      <w:r>
        <w:t>PRINCIPE DE LA BONNE FOI, FRAIS DE LA PROCÉDURE, CLASSEMENT DE LA PROCÉDURE, ACQUITTEMENT | 52 CPC (CH), 395 let. b CPP (CH), 426 al. 2 CPP (CH)</w:t>
      </w:r>
    </w:p>
    <w:p>
      <w:pPr>
        <w:pStyle w:val="Heading2"/>
      </w:pPr>
      <w:r>
        <w:t>Erwägungen</w:t>
      </w:r>
    </w:p>
    <w:p>
      <w:r>
        <w:rPr>
          <w:b/>
        </w:rPr>
        <w:t>E. 1</w:t>
      </w:r>
    </w:p>
    <w:p>
      <w:r>
        <w:t>Le recours a été interjeté, si l’on s’en tient aux déclarations de M.________ SA, en temps utile (art. 396 al. 1 CPP [Code de procédure pénale suisse du 5 octobre 2007, RS 312.0]), contre une décision du ministère public dans un cas prévu par le CPP (art. 393 al. 1 let. a et 322 al. 2 CPP). Respectant les formes prescrites (art. 385 al. 1 CPP) et déposé par une partie ayant qualité pour recourir, le recours est recevable. Lorsque, comme en l’espèce, le recours porte uniquement sur les conséquences économiques accessoires d'une décision et que le montant litigieux ne dépasse pas 5'000 fr., un juge de l’autorité de céans statue comme juge unique (art. 395 let. b CPP et 13 al.</w:t>
      </w:r>
    </w:p>
    <w:p>
      <w:r>
        <w:rPr>
          <w:b/>
        </w:rPr>
        <w:t>E. 2</w:t>
      </w:r>
    </w:p>
    <w:p>
      <w:r>
        <w:t>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et c. 2e). Seul un comportement fautif et contraire à une règle juridique, qui soit en relation de causalité avec les frais imputés, entre en ligne de compte (TF 6B_387/2009 du 20 octobre 2009 c. 1.1; TF 6B_215/2009 du 23 juin 2009 c. 2.2; ATF 119 Ia 332 c. 1b; ATF 116 Ia 162 c. 2c). En outre, le juge doit fonder sa décision sur des faits incontestés ou déjà clairement établis (ATF 112 Ia 371 c. 2a; TF 6B_87/2012 du 27 avril 2012 c. 1.2); b) Au vu des motifs exposés par le Ministère public à l’appui de sa décision quant aux frais, la seule norme de comportement qui pourrait avoir été violée et justifier ainsi la mise des frais à la charge de la prévenue se trouve être l’art. 52 CPC (Code de procédure civile du 19 décembre 2008 ; RS 272). Cette disposition prévoit que quiconque participe à la procédure doit se conformer aux règles de la bonne foi. Par comportement conforme aux règles de la bonne foi, on entend un comportement qui, objectivement, correspond à ce qui peut être légitimement attendu des parties à un procès, à savoir une attitude éthiquement correcte à l’égard de l’autre partie et du juge. Ainsi, les parties doivent par exemple collaborer à l’administration des preuves (Bohnet, in : Bohnet/Haldy/Jeandin/Schweizer/Tappy, Code de procédure civile commenté, Bâle 2011, n.</w:t>
      </w:r>
    </w:p>
    <w:p>
      <w:r>
        <w:rPr>
          <w:b/>
        </w:rPr>
        <w:t>E. 7</w:t>
      </w:r>
    </w:p>
    <w:p>
      <w:r>
        <w:t>ad art. 52 CPC, p. 135, et les références citées). c) En l’espèce, il semble que le procureur se soit essentiellement basé sur les pièces 101 à 105 produites par la recourante à l’appui du bordereau du 5 décembre 2011, c’est-à-dire les décomptes des heures et des vacances pour les années 2006 à 2010 (P. 5/0). Or, les explications et commentaires figurant dans la réponse fournie par M.________ SA le même jour sont de nature à exclure une violation des règles de la bonne foi au sens de l’art. 52 CPC (cf. P. 36/1, all. 110 à 119). M.________ SA a en effet allégué que les fiches d’heures de la plaignante comportaient plusieurs erreurs, que celle-ci avait perdu de vue qu’en 2007, elle avait été payée à 100 % alors qu’elle travaillait à 90% pour récupérer les heures de 2006 et que les heures effectuées lors des foires avaient été calculées de manière inexacte. M.________ SA avait dès lors vérifié de nouveau les heures de la plaignante depuis 2006, en additionnant toutes les heures effectuées et en les comparant aux heures théoriques. La comparaison faisait apparaître un solde de 235.40 heures en faveur de la recourante, correspondant à un montant de 7'250 fr. 30 que la plaignante lui devait encore. La plaignante a également soutenu en cours d’enquête (P. 32) que d’autres documents produits en procédure constituaient des faux, soit notamment les pièces 112, 113, 114, 114b et 115 du bordereau du 2 juillet 2013, qui correspondent aux fiches de salaires de février 2007, septembre 2008, février 2009, mars 2009 et novembre 2010 (P. 33/0). On ignore toutefois quand ces pièces ont été produites et surtout si des explications ont été données par la prévenue lors de leur production ou par la suite relativement à leur interprétation. Dans ces conditions, il ne paraît pas possible de tenir pour établie une violation des règles de la bonne foi en procédure selon l’art. 52 CPC. C’est par conséquent à tort que les frais de la cause ont été mis à la charge de la recourante. 3. En définitive, le recours doit être admis et l’ordonnance réformée au chiffre II de son dispositif en ce sens que les frais de procédure, par 1'200 fr., sont laissés à la charge de l’Etat. Il convient d'allouer à la recourante, qui a obtenu gain de cause et qui a procédé avec l'assistance d'un conseil professionnel, un montant de 270 fr., débours et TVA compris, à titre d'indemnité pour les dépenses occasionnées par l'exercice raisonnable de ses droits dans la procédure de recours (art. 429 al. 1 let. a et 436 CPP). Les frais d'arrêt, par 540 fr. (art. 20 al. 1 TFJP [tarif des frais judiciaires pénaux; RSV 312.03.1]), seront laissés à la charge de l’Etat (art. 428 al. 4 CPP). Par ces motifs, le Juge de la Chambre des recours pénale, statuant à huis clos, prononce : I. Le recours est admis. II. L’ordonnance est réformée au chiffre II de son dispositif en ce sens que les frais de procédure, par 1'200 fr. (mille deux cents francs), sont laissés à la charge de l’Etat. III. Un montant de 270 fr. (deux cent septante francs) est alloué à M.________ SA à titre d’indemnité pour la procédure de recours, à la charge de l’Etat. IV. Les frais du présent arrêt, par 540 fr. (cinq cent quarante francs), sont laissés à la charge de l’Etat. V. Le présent arrêt est exécutoire. Le juge :               Le greffier : Du L'arrêt qui précède, dont la rédaction a été approuvée à huis clos, est notifié, par l'envoi d'une copie complète, à : - M. Alexandre Reil, avocat (pour M.________ SA), - M. Denis Weber, avocat (pour K.________),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