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239 vom 28. Januar 2014</w:t>
      </w:r>
    </w:p>
    <w:p>
      <w:r>
        <w:t>VD Tribunal cantonal, 2014-01-28, FR</w:t>
      </w:r>
    </w:p>
    <w:p>
      <w:r>
        <w:rPr>
          <w:b/>
        </w:rPr>
        <w:t xml:space="preserve">Quelle: </w:t>
      </w:r>
      <w:r>
        <w:t>https://mcp.opencaselaw.ch/entscheid/vd_findinfo_D_cision___2014___239</w:t>
      </w:r>
    </w:p>
    <w:p>
      <w:r>
        <w:t>FR: VD_FINDINFO Décision / 2014 / 239 du 28 janvier 2014</w:t>
      </w:r>
    </w:p>
    <w:p>
      <w:r>
        <w:t>IT: VD_FINDINFO Décision / 2014 / 239 del 28 gennaio 2014</w:t>
      </w:r>
    </w:p>
    <w:p>
      <w:pPr>
        <w:pStyle w:val="Heading2"/>
      </w:pPr>
      <w:r>
        <w:t>Regeste</w:t>
      </w:r>
    </w:p>
    <w:p>
      <w:r>
        <w:t>CLASSEMENT DE LA PROCÉDURE, DIFFAMATION, PREUVE LIBÉRATOIRE | 173 CP, 319 CPP (CH)</w:t>
      </w:r>
    </w:p>
    <w:p>
      <w:pPr>
        <w:pStyle w:val="Heading2"/>
      </w:pPr>
      <w:r>
        <w:t>Erwägungen</w:t>
      </w:r>
    </w:p>
    <w:p>
      <w:r>
        <w:rPr>
          <w:b/>
        </w:rPr>
        <w:t>E. 1</w:t>
      </w:r>
    </w:p>
    <w:p>
      <w:r>
        <w:t>CPP) contre une décision du Ministère public (art. 393 al. 1 let. a CPP), par la partie plaignante qui a qualité pour recourir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 recourant soutient que les éléments constitutifs de l’infraction de diffamation sont réalisés. a)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CP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L’infraction est intentionnelle. L’intention de l’auteur doit porter sur tous les éléments constitutifs objectifs (Corboz, Les infractions en droit suisse, vol. I, Berne 2010, n. 48 ad art. 173 CP). L’auteur doit être conscient du caractère attentatoire à l’honneur de son allégation ; le dol éventuel est suffisant (ATF 118 IV 153 c. 5g, JT 1994 IV 110). b)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Si l’allégation concerne la commission d’un comportement punissable, le preuve de la vérité ne peut se faire qu’en produisant un jugement de condamnation de la personne visée (Dupuis et alii, Petit commentaire du Code pénal, Bâle 2012, n. 32 ad art. 173 CP).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 c) En l’espèce, dans son arrêt du 25 septembre 2012, la Chambre des recours pénale s’est déjà prononcée sur le caractère diffamatoire de l’article paru le 13 avril 2012 dans le journal X.________ ; elle a ainsi considéré que les propos incriminés allaient au-delà de la simple critique professionnelle et laissaient entendre clairement que le recourant était corrompu et rédigeait des rapports de complaisance, ce qui pourrait se révéler être des infractions pénales (CREP du 25 septembre 2012/716). C’est donc en vain que le Procureur tente de soutenir le contraire. S’agissant de l’élément subjectif de l’infraction, le prévenu a expliqué lors de l’audience de conciliation du 8 mars 2013 être conscient que son article était susceptible d’être attentatoire à l’honneur du Dr Q.________ (PV aud. 1, p. 8). Les éléments objectifs et subjectifs de l’infraction de diffamation paraissent dès lors réunis. d) Il convient encore d’examiner si les conditions d’admission de la preuve libératoire sont réalisées. Dans la mesure où les allégations incriminées se rapportent à la commission d’éventuelles infractions, la preuve de la vérité n’aurait pu être rapportée que par la production d’un jugement de condamnation. En ce qui concerne la preuve de la bonne foi, les éléments figurant au dossier produit par le prévenu permettent certes d’établir l’existence de graves manquements professionnels du plaignant (cf. P. 18). L’arrêt du Tribunal administratif de la République et canton de Genève rendu le 13 octobre 2009 est éloquent à cet égard. Il ne se prononce toutefois pas sur les conclusions des expertises mises en cause. Il ne contient en outre aucun élément qui permettrait de conclure que le plaignant rédigeait des expertises de complaisance et encore moins qu’il aurait, en contre-partie, bénéficié d’avantages indus. En définitive, le dossier produit par le prévenu ne comporte pas d’éléments suffisants pour considérer que ce dernier avait des raisons sérieuses de croire que le plaignant rédigeait des rapports de complaisances (art. 307 CP) et/ou était corrompu (art. 322 quater CP). e) Au vu de ce qui précède, il existe contre le prévenu des soupçons suffisants de diffamation, si bien que l’ordonnance de classement est mal fondée. Il appartiendra au Ministère public de tirer les conclusions juridiques de ce constat.</w:t>
      </w:r>
    </w:p>
    <w:p>
      <w:r>
        <w:rPr>
          <w:b/>
        </w:rPr>
        <w:t>E. 4</w:t>
      </w:r>
    </w:p>
    <w:p>
      <w:r>
        <w:t>En définitive, le recours doit être admis, l'ordonnance attaquée annulée et le dossier de la cause renvoyé au Ministère public central, division affaires spéciales, contrôle et mineurs pour qu'il procède dans le sens des considérants. S’agissant des dépens réclamés par le recourant, il lui appartiendra, le cas échéant, de faire valoir à la fin de la procédure ses prétentions auprès de l’autorité pénale compétente selon l’art. 433 al. 2 CPP (CREP 16 avril 2013/279 c. 4 et les références citées). Enfin, les frais d’arrêt, par 880 fr. (art. 20 al. 1 TFJP [Tarif des frais judiciaires pénaux du 28 septembre 2010; RSV 312.03.1]), seront laissés à la charge de l'Etat (art. 428 al. 4 CPP). Par ces motifs, la Chambre des recours pénale, statuant à huis clos, prononce : I. Le recours est admis. II. L’ordonnance du 20 novembre 2013 est annulée. III. Le dossier de la cause est renvoyé au Ministère public central, division affaires spéciales, contrôle et mineurs pour qu’il procède dans le sens des considérants.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 Nicolas Jeandin, avocat (pour Q.________), - M. S.________,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