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238 vom 28. März 2014</w:t>
      </w:r>
    </w:p>
    <w:p>
      <w:r>
        <w:t>VD Tribunal cantonal, 2014-03-28, FR</w:t>
      </w:r>
    </w:p>
    <w:p>
      <w:r>
        <w:rPr>
          <w:b/>
        </w:rPr>
        <w:t xml:space="preserve">Quelle: </w:t>
      </w:r>
      <w:r>
        <w:t>https://mcp.opencaselaw.ch/entscheid/vd_findinfo_D_cision___2014___238</w:t>
      </w:r>
    </w:p>
    <w:p>
      <w:r>
        <w:t>FR: VD_FINDINFO Décision / 2014 / 238 du 28 mars 2014</w:t>
      </w:r>
    </w:p>
    <w:p>
      <w:r>
        <w:t>IT: VD_FINDINFO Décision / 2014 / 238 del 28 marzo 2014</w:t>
      </w:r>
    </w:p>
    <w:p>
      <w:pPr>
        <w:pStyle w:val="Heading2"/>
      </w:pPr>
      <w:r>
        <w:t>Regeste</w:t>
      </w:r>
    </w:p>
    <w:p>
      <w:r>
        <w:t>RETRAIT{VOIE DE DROIT}, RADIATION DU RÔLE, DÉLAI-CADRE, INDEMNITÉ DE CHÔMAGE, DÉPENS, ASSISTANCE JUDICIAIRE | 13 al. 1 LACI, 14 al. 1 let. b LACI, 91 LPA-VD, 94 al. 1 let. c LPA-VD</w:t>
      </w:r>
    </w:p>
    <w:p>
      <w:pPr>
        <w:pStyle w:val="Heading2"/>
      </w:pPr>
      <w:r>
        <w:t>Erwägungen</w:t>
      </w:r>
    </w:p>
    <w:p>
      <w:r>
        <w:rPr>
          <w:b/>
        </w:rPr>
        <w:t>E. 5</w:t>
      </w:r>
    </w:p>
    <w:p>
      <w:r>
        <w:t>LPA-VD, tenu au remboursement de l’indemnité du conseil d’office mise à la charge de l’Etat. IV. Il n’est pas perçu de frais judiciaires ni alloué de dépens. La juge unique :               La greffière : Du La décision qui précède est notifiée à : ‑ Me Kathrin Gruber (pour J.________)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