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236 vom 11. März 2014</w:t>
      </w:r>
    </w:p>
    <w:p>
      <w:r>
        <w:t>VD Tribunal cantonal, 2014-03-11, FR</w:t>
      </w:r>
    </w:p>
    <w:p>
      <w:r>
        <w:rPr>
          <w:b/>
        </w:rPr>
        <w:t xml:space="preserve">Quelle: </w:t>
      </w:r>
      <w:r>
        <w:t>https://mcp.opencaselaw.ch/entscheid/vd_findinfo_D_cision___2014___236</w:t>
      </w:r>
    </w:p>
    <w:p>
      <w:r>
        <w:t>FR: VD_FINDINFO Décision / 2014 / 236 du 11 mars 2014</w:t>
      </w:r>
    </w:p>
    <w:p>
      <w:r>
        <w:t>IT: VD_FINDINFO Décision / 2014 / 236 del 11 marzo 2014</w:t>
      </w:r>
    </w:p>
    <w:p>
      <w:pPr>
        <w:pStyle w:val="Heading2"/>
      </w:pPr>
      <w:r>
        <w:t>Regeste</w:t>
      </w:r>
    </w:p>
    <w:p>
      <w:r>
        <w:t>EXPERTISE PSYCHIATRIQUE, RÉCUSATION | 184 al. 3 CPP (CH), 309 al. 1 let. a CPP (CH), 56 CPP (CH)</w:t>
      </w:r>
    </w:p>
    <w:p>
      <w:pPr>
        <w:pStyle w:val="Heading2"/>
      </w:pPr>
      <w:r>
        <w:t>Erwägungen</w:t>
      </w:r>
    </w:p>
    <w:p>
      <w:r>
        <w:rPr>
          <w:b/>
        </w:rPr>
        <w:t>E. 1</w:t>
      </w:r>
    </w:p>
    <w:p>
      <w:r>
        <w:t>La demande récusation du 21 février 2014 a) 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M.________ contre le procureur [...] (art. 13 de la loi d’introduction du code de procédure pénale suisse [LVCPP]; RSV 312.01). b) Le recourant évoque un parti pris du procureur [...] à son encontre, lui reprochant notamment d’avoir communiqué des informations au Service de l’application des sanctions pénales et des prisons (SASPP) du canton de Fribourg, de lui avoir transmis un dossier d’instruction incomplet pour consultation et d’avoir commis des irrégularités dans certains actes de procédure. c)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c. 2.1 et la référence citée.; ATF 136 III 605 c. 3.2.1; ATF 134 I 20 c. 4.2), et des erreurs de procédure ou d’appréciation ne suffisent pas (TF 1B_305/2010 du 25 octobre 2010; ATF 116 Ia 135). d) En l’espèce, s’il est vrai que le procureur a commis certaines imprécisions, notamment en ne mentionnant pas au procès-verbal des opérations l’ouverture de l’instruction au sens de l’art. 309 al. 3 CPP ou en omettant de transmettre certaines pièces du dossier au recourant, ces circonstances ne font pas redouter une activité partiale de l’autorité d’instruction. Au demeurant, le dossier complet de la cause a été transmis au recourant sitôt que le procureur s’est aperçu de son erreur (P. 43). Quant à la transmission de documents à un Service chargé de l’exécution des peines, elle relève d’un intérêt public et aucun intérêt privé prépondérant ne s’y opposait (art. 101 al. 2 CPP). Aucun motif de récusation, au sens de l'art. 56 let. f CPP, n'est ainsi réalisé, de sorte que la demande de récusation doit être rejetée.</w:t>
      </w:r>
    </w:p>
    <w:p>
      <w:r>
        <w:rPr>
          <w:b/>
        </w:rPr>
        <w:t>E. 2</w:t>
      </w:r>
    </w:p>
    <w:p>
      <w:r>
        <w:t>Le recours contre l’avis du 11 février 2014 a) Aux termes de l’art. 393 al. 1 let. a CPP le recours est recevable contre les décisions et actes de procédure du ministère public. b) A teneur de l’art. 184 al. 1 CPP, la direction de la procédure désigne l'expert. Selon l’art. 184 al. 3, 1 re phrase, CPP, elle donne préalablement aux parties l'occasion de s'exprimer sur le choix de l'expert et les questions qui lui sont posées et de faire leurs propres propositions. Un prévenu pourrait avoir un intérêt à empêcher la réalisation d’une expertise psychiatrique si les conditions à l’exercice de l’action pénale n’étaient pas réalisées, ne serait-ce que parce qu’il s’agit d’une mesure de contrainte (cf. art. 251 CPP) et qu’il risquerait de devoir en supporter les coûts. Toutefois, un avis adressé aux parties en application de l’art. 184 al. 3 CPP ne constitue pas une décision, ni même un acte de procédure, sujet à recours selon les art. 393 ss CPP. Il ne s’agit en effet que d’une mesure concrétisant le droit des parties d’être entendues avant la notification d’une décision désignant l’expert et définissant le mandat donné à celui-ci, et non d’une véritable mesure d’instruction (CREP 9 janvier 2014/12). Ces éléments n’ont pas fait l’objet d’une décision formelle du procureur puisqu’il s’agit, comme on l’a vu, uniquement  de confirmer l’expertise à venir. Cela relève de l’opportunité de procéder à certaines mesures d’instruction avant d’autres et le procureur dispose d’un large pouvoir d’appréciation à cet égard. Partant, le recours doit être déclaré irrecevable sur ce point, seul un recours contre le mandat d’expertise psychiatrique étant recevable, libre au recourant de s’opposer le cas échéant à ce mandat lorsque le procureur l’aura formellement décerné.</w:t>
      </w:r>
    </w:p>
    <w:p>
      <w:r>
        <w:rPr>
          <w:b/>
        </w:rPr>
        <w:t>E. 3</w:t>
      </w:r>
    </w:p>
    <w:p>
      <w:r>
        <w:t>CPP, qui n’a qu’une portée interne (Moreillon/Parein-Reymond, Petit commentaire, Code de procédure pénale, Bâle 2013, n. 21 ad art. 309 CPP et les références citées) et le Ministère public n’est pas tenu de statuer en cours d’instruction sur les objections des parties relatives à la qualification des infractions où à la recevabilité d’une plainte, mais peut renvoyer cet examen à la décision de clôture, susceptible de recours le cas échéant. Partant, le recours doit également être déclaré irrecevable sur ce point.</w:t>
      </w:r>
    </w:p>
    <w:p>
      <w:r>
        <w:rPr>
          <w:b/>
        </w:rPr>
        <w:t>E. 4</w:t>
      </w:r>
    </w:p>
    <w:p>
      <w:r>
        <w:t>Enfin, la Chambre des recours pénale n’est pas compétente s’agissant des questions de for et elle n’entrera pas en matière sur cette question. Elle se contentera de rappeler que lorsque la fixation de for n’a pas fait l’objet d’une décision formelle notifiées aux parties, comme en l’espèce (PV des opérations, a contrario), celles-ci n’ont pas de délai pour procéder, mais doivent réagir dans un délai raisonnable, soit dès le moment où elles ont eu connaissance des faits pouvant justifier la contestation. La partie qui conteste la compétence doit d’abord s’adresser à l’autorité qui mène l’enquête avant de saisir la Cour des plaintes du Tribunal pénal fédéral (Moreillon/Parein-Reymond, op. cit., n. 2 ad art. 41 CPP et les références citées).</w:t>
      </w:r>
    </w:p>
    <w:p>
      <w:r>
        <w:rPr>
          <w:b/>
        </w:rPr>
        <w:t>E. 5</w:t>
      </w:r>
    </w:p>
    <w:p>
      <w:r>
        <w:t>En définitive, la requête de récusation doit être rejetée et le recours doit être déclaré irrecevable tant sur la question de l’avis relatif à l’expertise que sur la recevabilité de la plainte, faute de voies de recours ouvertes à ce stade. Les frais de la procédure de recours, constitués en l’espèce de l’émolument d'arrêt, par 770 fr. (art. 20 al. 1 TFJP [tarif des frais judiciaires pénaux; RSV 312.03.1]) et des frais imputables à la défense d’office (art. 422 al. 1 et 2 let. a CPP), fixés à 720 fr., plus la TVA par 57 fr. 60, soit un total de 777 fr. 60, seront mis à la charge de M.________,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statuant à huis clos, prononce : I. Le recours est irrecevable. II. La demande de récusation est rejetée. III. L’indemnité d’office allouée au défenseur d’office du recourant est fixée à 777 fr. 60 (sept cent septante-sept francs et soixante centimes). IV. Les frais d’arrêt, par 770 fr. (sept cent septante francs), ainsi que l’indemnité due au défenseur d’office du recourant par 777 fr. 60 (sept cent septante francs et soixante centimes), sont mis à la charge de M.________.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Me Jérôme Magnin, avocat (pour M.________), - Ministère public central, et communiqué à : - M. le Procureur de l’arrondissement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