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233 vom 3. März 2014</w:t>
      </w:r>
    </w:p>
    <w:p>
      <w:r>
        <w:t>VD Tribunal cantonal, 2014-03-03, FR</w:t>
      </w:r>
    </w:p>
    <w:p>
      <w:r>
        <w:rPr>
          <w:b/>
        </w:rPr>
        <w:t xml:space="preserve">Quelle: </w:t>
      </w:r>
      <w:r>
        <w:t>https://mcp.opencaselaw.ch/entscheid/vd_findinfo_D_cision___2014___233</w:t>
      </w:r>
    </w:p>
    <w:p>
      <w:r>
        <w:t>FR: VD_FINDINFO Décision / 2014 / 233 du 3 mars 2014</w:t>
      </w:r>
    </w:p>
    <w:p>
      <w:r>
        <w:t>IT: VD_FINDINFO Décision / 2014 / 233 del 3 marzo 2014</w:t>
      </w:r>
    </w:p>
    <w:p>
      <w:pPr>
        <w:pStyle w:val="Heading2"/>
      </w:pPr>
      <w:r>
        <w:t>Regeste</w:t>
      </w:r>
    </w:p>
    <w:p>
      <w:r>
        <w:t>CAS DE SÉQUESTRE, ORDONNANCE DE SÉQUESTRE, SÉQUESTRE{MESURE PROVISIONNELLE}, SOUPÇON, PROPORTIONNALITÉ, LIEN DE CAUSALITÉ | 197 al. 1 let. b CPP (CH), 197 al.1 CPP (CH), 263 CPP (CH), 393 al. 1 let. a CPP (CH)</w:t>
      </w:r>
    </w:p>
    <w:p>
      <w:pPr>
        <w:pStyle w:val="Heading2"/>
      </w:pPr>
      <w:r>
        <w:t>Erwägungen</w:t>
      </w:r>
    </w:p>
    <w:p>
      <w:r>
        <w:rPr>
          <w:b/>
        </w:rPr>
        <w:t>E. 1</w:t>
      </w:r>
    </w:p>
    <w:p>
      <w:r>
        <w:t>Interjetés en temps utile (art. 396 al. 1 CPP [Code de procédure pénale suisse, RS 312.0]) contre des ordonnances de séquestre du Ministère public (art. 263 CPP) (Bommer/ Goldschmid, in: Niggli/Heer/Wiprächtiger (éd.), Basler Kommentar, Schweizerische Strafprozessordnung, Jugendstrafprozessordnung, Bâle 2011, n. 66 ad art. 263 CPP), par le prévenu qui a qualité pour recourir (art. 382 al. 1 CPP), les recours sont recevables.</w:t>
      </w:r>
    </w:p>
    <w:p>
      <w:r>
        <w:rPr>
          <w:b/>
        </w:rPr>
        <w:t>E. 2</w:t>
      </w:r>
    </w:p>
    <w:p>
      <w:r>
        <w:t>Le recourant soutient que les conditions des séquestres ordonnés ne seraient pas remplies. Tant pour l’argent que pour le téléviseur, il conteste l’existence de présomptions de culpabilité suffisantes et d’un lien de causalité. Par ailleurs, il estime que ces mesures violeraient le principe de la proportionnalité. a) 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in : Kuhn/Jeanneret (éd.), Commentaire romand, Code de procédure pénale suisse, Bâle 2011, n. 22 ad art. 263 CPP). Il faut également pouvoir établir un lien de connexité entre l’objet séquestré et l’infraction poursuivie. A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 3.1; Lembo/Julen Berthod, op. cit., n. 26 ad art. 263 CPP et les références citées). Pour que le séquestre soit conforme au principe de proportionnalité (cf. art. 197 al. 1 let. c et d CPP et art. 36 al. 3 Cst. [Constitution fédérale de la Confédération suisse du 18 avril 1999, RS 101]), il doit être apte à produire les résultats escomptés (règle de l’aptitude), ces derniers ne pouvant pas être atteints par une mesure moins incisive (règle de la nécessité). Il faut, en outre, que la mesure n’emporte pas de limitation allant au-delà du but visé. Enfin, il doit exister un rapport raisonnable entre le séquestre et les intérêts privés compromis, eu égard à la gravité de l’infraction et des charges qui pèsent sur le prévenu (principe de la proportionnalité au sens étroit) (TF 1B_293/2009 du 7 janvier 2010 c. 3.2; ATF 132 I 49 c. 7.2; Lembo/Julen Berthod, op. cit., n. 23 ad art. 263 CPP). b) En l’espèce, s’agissant des 7'500 fr., le recourant a expliqué lors de ses auditions que cet argent provenait de ses économies réalisées sur le produit de son travail en Espagne ainsi qu’en France, dans le domaine de la restauration, et en Suisse, dans le cadre de brocantes, mais ses déclarations ne sont corroborées par aucun élément au dossier et elles sont sujettes à caution. Par ailleurs, les auditions des protagonistes, en particulier celle de la co-prévenue, ont varié en cours d’enquête de sorte qu’à ce jour, la provenance de cet argent est encore douteuse. A ce stade de l’instruction, il existe donc des présomptions de culpabilité suffisantes à l’encontre d’E.________, ce dernier ayant d’ailleurs été brièvement détenu à titre provisoire sur décision du Tribunal des mesures de contrainte. Or, on ne saurait affirmer que le prévenu a clairement été mis hors de cause depuis lors. Quant au lien de connexité, s’il n’est pas totalement impossible que le recourant ait économisé 7'500 fr. comme il le dit, il n’en demeure pas moins que sa co-prévenue, avec qui il habitait, a déclaré que cet argent provenait des fonds soutirés au plaignant (PV aud. 12, p. 5; PV aud. 14, p. 6). Or, à ce stade des présomptions, cette mise en cause est suffisante pour retenir l’existence d’un lien de connexité entre les infractions reprochées au recourant et l’argent séquestré. S’agissant du principe de la proportionnalité, le prévenu fait valoir qu’il rencontrerait de graves difficultés financières en raison du séquestre des 7'500 francs. Il soutient que ce montant correspondrait à ses seules économies et qu’il n’aurait plus d’autre moyen pour subvenir à ses besoins, les sept jours de détention provisoire l’ayant à ce point marqué psychologiquement qu’il ne serait presque plus en mesure de travailler. Les accusations portées contre lui entacheraient par ailleurs sa réputation professionnelle. Outre que ces affirmations sont à la limite de la mauvaise foi, la Cour constate que le recourant n’a produit aucune pièce attestant de son trouble psychique. Par ailleurs, la brocante, voire la restauration, sont des domaines dans lesquels l’examen des antécédents judiciaires est peu courant. Enfin, en prenant en considération ses charges, il paraît douteux que la libération du montant litigieux permette au recourant de vivre de manière autonome au-delà de trois mois. Si le recourant se trouve dans une situation financière difficile, il ne peut s’en prendre qu’à lui-même, puisque rien ne démontre qu’il n’ait pas pu reprendre ses activités antérieures, qui, depuis sa courte période de détention en novembre 2013, lui auraient permis de réaliser, à ce jour, des revenus supérieurs au montant séquestré. L’argument n’est donc pas déterminant, ni d’ailleurs motivé par des calculs précis ou par des pièces relatives au minimum vital. Ainsi, au regard des éléments qui précèdent, le principe de proportionnalité est respecté. En définitive, c’est à bon droit que le Procureur a séquestré les 7'500 fr. saisis au domicile du prévenu, les conditions du séquestre étant manifestement réalisées. c) S’agissant du téléviseur, le recourant soutient l’avoir acheté au moyen de ses revenus. Toutefois, il existe un doute quant à l’origine du financement de cet appareil. En effet, G.________ a expliqué avoir acheté la télévision avec le recourant au moyen de leur argent (PV aud. 8, p. 6), avant de déclarer avoir acquis l’appareil grâce aux fonds du plaignant (PV aud. 12, p. 4). En outre, la fille du prévenu n’a pas su indiquer comment son père avait pu trouver les moyens pour acquérir ce téléviseur (PV aud. 3, p. 6). Au surplus, le duplicata de la quittance d’achat produit devant le Ministère public (P. 70/2) ne donne aucune indication sur l’origine des fonds. Il soulève en revanche la question de savoir comment le recourant a pu acquérir un téléviseur à 1'549 fr. alors qu’il affirme gagner environ 500 fr. par semaine. Il existe donc, à ce stade de l’instruction, des indices de culpabilité qui sont suffisants pour justifier le séquestre. Au vu des éléments qui précèdent, le lien de connexité entre l’appareil séquestré et l’activité délictueuse présumée du prévenu ne saurait être nié. Pour le surplus, le recourant invoque une violation du principe de la proportionnalité. Toutefois, les moyens soulevés, qui sont identiques à ceux développés ci-dessus (cf. c. 2b supra), font référence non pas au téléviseur, mais à l’argent séquestré. Le recourant n’indique donc pas en quoi la mesure ordonnée serait disproportionnée. Cela étant, la Cour de céans ne discerne aucune violation de ce principe, s’agissant d’un séquestre portant sur un téléviseur. Par conséquent, c’est également à bon droit que le Procureur a séquestré le téléviseur Panasonic saisi au domicile du recourant.</w:t>
      </w:r>
    </w:p>
    <w:p>
      <w:r>
        <w:rPr>
          <w:b/>
        </w:rPr>
        <w:t>E. 3</w:t>
      </w:r>
    </w:p>
    <w:p>
      <w:r>
        <w:t>En définitive, les recours, manifestement mal fondés, doivent être rejetés sans autres échanges d’écritures (art. 390 al. 2 CPP) et les ordonnances de séquestre des 30 janvier et 7 février 2014 confirmées. Les frais de la procédure de recours, constitués en l’espèce de l'émolument d'arrêt (art. 422 al. 1 CPP), par 770 fr. (art. 20 al. 1 TFJP [tarif des frais judiciaires pénaux;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Les recours sont rejetés. II. Les ordonnances de séquestre des 30 janvier et 7 février 2014 sont confirmées. III. L'indemnité allouée au défenseur d'office du recourant est fixée à 777 fr. 60 (sept cent septante-sept francs et soixante centimes). IV. Les frais du présent arrêt, par 770 fr. (sept cent septante francs), ainsi que l’indemnité due au défenseur d’office du recourant, par 777 fr. 60 (sept cent septante-sept francs et soixante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Myriam Bitschy, avocate (pour E.________), - Ministère public central, et communiqué à : - M. le Procureur de l’arrondissement de l’Est vaudois, - Me Patrick Sutter, avocat (pour G.________),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