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232 vom 11. März 2014</w:t>
      </w:r>
    </w:p>
    <w:p>
      <w:r>
        <w:t>VD Tribunal cantonal, 2014-03-11, FR</w:t>
      </w:r>
    </w:p>
    <w:p>
      <w:r>
        <w:rPr>
          <w:b/>
        </w:rPr>
        <w:t xml:space="preserve">Quelle: </w:t>
      </w:r>
      <w:r>
        <w:t>https://mcp.opencaselaw.ch/entscheid/vd_findinfo_D_cision___2014___232</w:t>
      </w:r>
    </w:p>
    <w:p>
      <w:r>
        <w:t>FR: VD_FINDINFO Décision / 2014 / 232 du 11 mars 2014</w:t>
      </w:r>
    </w:p>
    <w:p>
      <w:r>
        <w:t>IT: VD_FINDINFO Décision / 2014 / 232 del 11 marzo 2014</w:t>
      </w:r>
    </w:p>
    <w:p>
      <w:pPr>
        <w:pStyle w:val="Heading2"/>
      </w:pPr>
      <w:r>
        <w:t>Regeste</w:t>
      </w:r>
    </w:p>
    <w:p>
      <w:r>
        <w:t>DÉTENTION PROVISOIRE, RISQUE DE RÉCIDIVE, PROLONGATION | 221 al. 1 let. c CPP (CH), 222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c) En l’espèce, c’est à juste titre que le recourant ne conteste pas l’existence de graves soupçons de culpabilité. Ceux-ci ressortent en effet clairement du dossier, notamment du dernier rapport de police établi le 18 novembre 2013. Ils ont en outre été jugés suffisants par la cour de céans dans son arrêt du 18 décembre 2013 confirmé par le Tribunal fédéral le 4 février 2014</w:t>
      </w:r>
    </w:p>
    <w:p>
      <w:r>
        <w:rPr>
          <w:b/>
        </w:rPr>
        <w:t>E. 3</w:t>
      </w:r>
    </w:p>
    <w:p>
      <w:r>
        <w:t>L’ordonnance entreprise se fonde sur le risque de récidive (art. 221 al. 1 let. c CPP). a)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b) En l’espèce, le recourant est prévenu notamment d’infraction grave à la LStup. S’agissant de ses antécédents, il est rappelé que ce dernier a déjà occupé la justice pénale à quatre reprises en raison d’infractions à la loi sur la circulation routière et à la LArm. Ces condamnations, en particulier la peine privative de liberté ferme de 30 jours prononcée en 2010, ne l’ont toutefois pas dissuadé de commettre de nouvelles infractions. Ainsi, par simple appât du gain, le prévenu s’est adonné, dès 2011, à un important trafic de stupéfiants, dont il sied de souligner la quantité et la diversité des produits proposés, ainsi que le bénéfice substantiel qu’il en aurait retiré. De surcroît, ni sa situation familiale, notamment son rôle de père, ni le fait d’avoir perçu quelques revenus de manière légale ne l’ont empêché de se consacrer principalement à ses activités délictueuses. Dans ces circonstances, seul un pronostic très défavorable peut être posé à son égard. Cette appréciation a du reste déjà été posée dans le cadre de l’arrêt du 18 décembre 2013 confirmé par le Tribunal fédéral le 4 février 2014. Par conséquent, c’est à bon droit que le Tribunal des mesures de contrainte a retenu que le risque de réitération demeurait concret. Les mesures de substitution proposées sont inefficaces pour parer au risque de récidive retenu.</w:t>
      </w:r>
    </w:p>
    <w:p>
      <w:r>
        <w:rPr>
          <w:b/>
        </w:rPr>
        <w:t>E. 4</w:t>
      </w:r>
    </w:p>
    <w:p>
      <w:r>
        <w:t>Pour le surplus, le principe de la proportionnalité est respecté, compte tenu de la gravité des actes reprochés au recourant et de la durée de la détention provisoire subie (ATF 133 I 168 c. 4.1; ATF 132 I 21 c. 4.1; TF 1B_411/2011 du 31 août 2011 c. 4.1). En effet, prévenu notamment d'infraction grave à la LStup, le recourant, qui est détenu depuis un peu plus de neuf mois, encourt une peine privative de liberté d'un an au moins (art. 19 al. 2 LStup). Il sied toutefois de souligner que, dans la mesure où Swissmedic s’est désormais déterminé, la mise en accusation devra avoir lieu très rapidement.</w:t>
      </w:r>
    </w:p>
    <w:p>
      <w:r>
        <w:rPr>
          <w:b/>
        </w:rPr>
        <w:t>E. 5</w:t>
      </w:r>
    </w:p>
    <w:p>
      <w:r>
        <w:t>En définitive, le recours doit être rejeté et l'ordonnance entreprise confirmée. Les frais de la procédure de recours, constitués en l’espèce de l'émolument d'arrêt (art. 422 al. 1 CPP), par  770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21 février 2014 est confirmée. III. L’indemnité allouée au défenseur d’office d’U.________ est fixée à 486 fr. (quatre cent huitante six francs), TVA comprise. IV. Les frais du présent arrêt, par 770 fr. (sept cent septante francs), ainsi que l’indemnité due au défenseur d’U.________, par 486 fr. (quatre cent huitante six francs), sont mis à la charge de ce dernier. V. Le remboursement à l’Etat de l’indemnité allouée au chiffre III ci-dessus sera exigible pour autant que la situation économique d’U.________ se soit améliorée. VI. Le présent arrêt est exécutoire. Le président :               La greffière : Du L'arrêt qui précède, dont la rédaction a été approuvée à huis clos, est notifié, par l'envoi d'une copie complète, à : - Me Raphaël  Brochellaz, avocat (pour U.________), - Ministère public central, et communiqué à : - Mme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