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 vom 9. Januar 2014</w:t>
      </w:r>
    </w:p>
    <w:p>
      <w:r>
        <w:t>VD Tribunal cantonal, 2014-01-09, FR</w:t>
      </w:r>
    </w:p>
    <w:p>
      <w:r>
        <w:rPr>
          <w:b/>
        </w:rPr>
        <w:t xml:space="preserve">Quelle: </w:t>
      </w:r>
      <w:r>
        <w:t>https://mcp.opencaselaw.ch/entscheid/vd_findinfo_D_cision___2014___23</w:t>
      </w:r>
    </w:p>
    <w:p>
      <w:r>
        <w:t>FR: VD_FINDINFO Décision / 2014 / 23 du 9 janvier 2014</w:t>
      </w:r>
    </w:p>
    <w:p>
      <w:r>
        <w:t>IT: VD_FINDINFO Décision / 2014 / 23 del 9 gennaio 2014</w:t>
      </w:r>
    </w:p>
    <w:p>
      <w:pPr>
        <w:pStyle w:val="Heading2"/>
      </w:pPr>
      <w:r>
        <w:t>Regeste</w:t>
      </w:r>
    </w:p>
    <w:p>
      <w:r>
        <w:t>DÉTENTION PRÉVENTIVE, RISQUE DE FUITE, RISQUE DE COLLUSION | 221 al. 1 let. a CPP (CH), 221 al. 1 let. b CPP (CH), 393 al. 1 let. c CPP (CH)</w:t>
      </w:r>
    </w:p>
    <w:p>
      <w:pPr>
        <w:pStyle w:val="Heading2"/>
      </w:pPr>
      <w:r>
        <w:t>Erwägungen</w:t>
      </w:r>
    </w:p>
    <w:p>
      <w:r>
        <w:rPr>
          <w:b/>
        </w:rPr>
        <w:t>E. 5</w:t>
      </w:r>
    </w:p>
    <w:p>
      <w:r>
        <w:t>Les conditions de la détention provisoire étant alternatives, la question d’un éventuel risque de récidive peut rester indécise, dès lors que la détention provisoire est justifiée par les risques de fuite et de collusion.</w:t>
      </w:r>
    </w:p>
    <w:p>
      <w:r>
        <w:rPr>
          <w:b/>
        </w:rPr>
        <w:t>E. 6</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E.________ est détenue depuis le 18 décembre 2013, soit depuis environ trois semaines. Compte tenu des actes qui lui sont reprochés et de ses antécédents, la recourante s'expose à une peine d’une durée manifestement supérieure à celle de la détention provisoire subie à ce jour. Au vu de ces éléments, la détention provisoire ordonnée par le premier juge respecte le principe de proportionnalité.</w:t>
      </w:r>
    </w:p>
    <w:p>
      <w:r>
        <w:rPr>
          <w:b/>
        </w:rPr>
        <w:t>E. 7</w:t>
      </w:r>
    </w:p>
    <w:p>
      <w:r>
        <w:t>A l’appui de son recours, E.________ a exposé avoir un cancer de l’utérus, ainsi qu’une insuffisance rénale. Toutefois, il n’est pas établi en l’état que ces maladies entraîneraient une incapacité complète de subir une détention provisoire ni qu’elles nécessiteraient un traitement médical non compatible avec une incarcération (cf. TF 6B_511/2013 du 17 septembre 2013). Il faudra néanmoins que le Service de médecine et psychiatrie pénitentiaires suive de près l’état de santé de la recourante.</w:t>
      </w:r>
    </w:p>
    <w:p>
      <w:r>
        <w:rPr>
          <w:b/>
        </w:rPr>
        <w:t>E. 8</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seront mis à la charge de la recourante, qui succombe (art. 428 al. 1 CPP). Cette dernière ayant recouru seule, aucune indemnité n'est due à son défenseur d'office. Par ces motifs, la Chambre des recours pénale, statuant à huis clos, prononce : I. Le recours est rejeté. II. L’ordonnance du 20 décembre 2013 est confirmée. III. Les frais d’arrêt, par 770 fr. (sept cent septante francs), sont mis à la charge d’E.________. IV. Le présent arrêt est exécutoire. Le président :               La greffière : Du L'arrêt qui précède, dont la rédaction a été approuvée à huis clos, est notifié, par l'envoi d'une copie complète, à : - M. Diego Bischof, avocat (pour E.________), - Mme E.________, - Ministère public central; et communiqué à :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