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211 vom 7. Februar 2014</w:t>
      </w:r>
    </w:p>
    <w:p>
      <w:r>
        <w:t>VD Tribunal cantonal, 2014-02-07, FR</w:t>
      </w:r>
    </w:p>
    <w:p>
      <w:r>
        <w:rPr>
          <w:b/>
        </w:rPr>
        <w:t xml:space="preserve">Quelle: </w:t>
      </w:r>
      <w:r>
        <w:t>https://mcp.opencaselaw.ch/entscheid/vd_findinfo_D_cision___2014___211</w:t>
      </w:r>
    </w:p>
    <w:p>
      <w:r>
        <w:t>FR: VD_FINDINFO Décision / 2014 / 211 du 7 février 2014</w:t>
      </w:r>
    </w:p>
    <w:p>
      <w:r>
        <w:t>IT: VD_FINDINFO Décision / 2014 / 211 del 7 febbraio 2014</w:t>
      </w:r>
    </w:p>
    <w:p>
      <w:pPr>
        <w:pStyle w:val="Heading2"/>
      </w:pPr>
      <w:r>
        <w:t>Regeste</w:t>
      </w:r>
    </w:p>
    <w:p>
      <w:r>
        <w:t>DÉFENSE D'OFFICE | 132 al. 1 let. b CPP (CH), 393 al. 1 let. a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La décision du Ministère public désignant un défenseur d'office peut également faire l'objet d'un recours (Lieber, in: Donatsch/Hansjakob/Lieber, Kommentar zur Schweizerischer Strafprozessordnung [StPO], Zurich 2010, n. 8 ad art. 133 CPP; Schmid, Schweizerische Strafprozessordnung, PraxisKommentar, Zurich 2009, n. 3 ad art. 133 CPP). En effet, le prévenu peut avoir un intérêt juridiquement protégé à recourir, même lorsqu'on lui désigne un défenseur d'office, notamment pour contester le choix de celui-ci ou pour éviter les conséquences financières d'une telle désignation.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Le recourant fait grief au procureur de lui avoir imposé un défenseur d’office. Il souhaite pouvoir assurer seul la défense de ses intérêts. 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op. cit.,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il ressort des pièces du dossier (cf. rapports de police des 4 et 9 janvier 2014, P. 7 et 8) que F.________ est rentier AI. L’indigence du prévenu est ainsi établie. S’agissant de la deuxième condition posée par l’art. 132 al. 1 let. b CPP, le comportement de F.________ laisse penser que l’on peut avoir des doutes sur sa responsabilité pénale : il consomme régulièrement de l’alcool et a occupé les services de police à plusieurs reprises durant les derniers mois alors qu’il était sous l’effet de l’alcool (cf. P.6). Il ressort également du rapport établi à la suite de l’intervention du</w:t>
      </w:r>
    </w:p>
    <w:p>
      <w:r>
        <w:rPr>
          <w:b/>
        </w:rPr>
        <w:t>E. 6</w:t>
      </w:r>
    </w:p>
    <w:p>
      <w:r>
        <w:t>janvier 2014 que F.________ a déféqué ce jour-là dans son pantalon, étalant ses excréments sur la porte et les murs du box dans lequel il était maintenu en attendant qu’il se calme (P.7). Dans ces circonstances, la désignation d’un défenseur d’office est nécessaire pour sauvegarder les intérêts du prévenu. L’ordonnance rendue par le Procureur de l’arrondissement de La Côte est ainsi bien fondée 3. En définitive, le recours doit être rejeté et l’ordonnance litigieuse confirmée. Les frais d’arrêt, par 550 fr. (art. 20 al. 1 TFJP [Tarif des frais judiciaires pénaux; RSV 312.03.1]), seront mis à la charge du recourant qui succombe (art. 428 al. 1 CPP). Par ces motifs, la Chambre des recours pénale, statuant à huis clos, prononce : I. Le recours est rejeté. II. L’ordonnance rendue le 7 février 2014 par le Procureur de l’arrondissement de La Côte est confirmée. III. Les frais d’arrêt, par 550 fr. (cinq cent cinquante francs), sont mis à la charge de F.________. IV. Le présent arrêt est exécutoire. Le président :               La greffière : Du L'arrêt qui précède, dont la rédaction a été approuvée à huis clos, est notifié, par l'envoi d'une copie complète, à : - F.________, - Me Mathias Burnand,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