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21 vom 16. Dezember 2013</w:t>
      </w:r>
    </w:p>
    <w:p>
      <w:r>
        <w:t>VD Tribunal cantonal, 2013-12-16, FR</w:t>
      </w:r>
    </w:p>
    <w:p>
      <w:r>
        <w:rPr>
          <w:b/>
        </w:rPr>
        <w:t xml:space="preserve">Quelle: </w:t>
      </w:r>
      <w:r>
        <w:t>https://mcp.opencaselaw.ch/entscheid/vd_findinfo_D_cision___2014___21</w:t>
      </w:r>
    </w:p>
    <w:p>
      <w:r>
        <w:t>FR: VD_FINDINFO Décision / 2014 / 21 du 16 décembre 2013</w:t>
      </w:r>
    </w:p>
    <w:p>
      <w:r>
        <w:t>IT: VD_FINDINFO Décision / 2014 / 21 del 16 dicembre 2013</w:t>
      </w:r>
    </w:p>
    <w:p>
      <w:pPr>
        <w:pStyle w:val="Heading2"/>
      </w:pPr>
      <w:r>
        <w:t>Regeste</w:t>
      </w:r>
    </w:p>
    <w:p>
      <w:r>
        <w:t>CHIEN, SURVEILLANCE{EN GÉNÉRAL}, LÉSION CORPORELLE PAR NÉGLIGENCE, NÉGLIGENCE | 12 al. 3 CP, 125 CP, 319 al. 1 CPP (CH)</w:t>
      </w:r>
    </w:p>
    <w:p>
      <w:pPr>
        <w:pStyle w:val="Heading2"/>
      </w:pPr>
      <w:r>
        <w:t>Erwägungen</w:t>
      </w:r>
    </w:p>
    <w:p>
      <w:r>
        <w:rPr>
          <w:b/>
        </w:rPr>
        <w:t>E. 1</w:t>
      </w:r>
    </w:p>
    <w:p>
      <w:r>
        <w:t>Le recours est interjeté dans le délai légal (art. 322 al. 2 et 396 al. 1 CPP [Code de procédure pénale suisse du 5 octobre 2007 ; RS 312.0]) contre une ordonnance de classement du Ministère public (cf. art. 319 ss CPP) par la partie plaignante qui a qualité pour recourir (art. 322 al. 2 et 382 al. 1 CPP). Il est donc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rPr>
          <w:b/>
        </w:rPr>
        <w:t>E. 3</w:t>
      </w:r>
    </w:p>
    <w:p>
      <w:r>
        <w:t>a) La recourante discute d’abord les éléments constitutifs de l’infraction qu’elle estime réalisée, soit celle de lésions corporelles simples par négligence (art. 125 al. 1 CP), pour laquelle l’instruction a été ouverte (cf. PV des opérations, p. 2, inscription ad 27 septembre 2011), puis affirme que l’intimé s’est rendu coupable de lésions corporelles simples, au sens de l’art. 123 CP, « le dol éventuel étant suffisant ». Elle ne motive toutefois pas son opinion sur ce dernier point, laquelle paraît d’ailleurs difficilement soutenable. C’est donc exclusivement sous l’angle de l’art. 125 al. 1 CP que le comportement du prévenu sera examiné (cf. CREP 29 septembre 2011/404). b) Conformément à l’art. 125 al. 1 CP, celui qui, par négligence, aura fait subir à une personne une atteinte à l'intégrité corporelle ou à la santé sera, sur plainte, puni d'une peine privative de liberté de trois ans au plus ou d'une peine pécuniaire. L'infraction visée par cette norme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 5.1 ; ATF 113 IV 68 c. 5). La négligence, au sens de l’art. 12 al. 3 CP, suppose, d'une part, que l'auteur ait violé un devoir de prudence que les circonstances lui imposaient pour ne pas excéder les limites du risque admissible et, d'autre part, qu'il n'ait pas prêté l'attention ou fait les efforts que l'on pouvait attendre de lui pour se conformer à ce devoir (ATF 135 IV 56 c. 2.1 ;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ATF 129 IV 119 c. 2.1, TF 6B_934/2009 du 22 décembre 2009 c. 1.1). Dans ce sens, l'art. 56 al. 1 CO prévoit qu’en cas de dommage causé par un animal, la personne qui le détient est responsable, si elle ne prouve qu’elle l’a gardé et surveillé avec toute l’attention commandée par les circonstances ou que sa diligence n’eût pas empêché le dommage de se produire (cf. TF 6B_1084/2009 du 29 juillet 2010 c. 3, cf. également CREP 29 septembre 2011/404, et les références citées). Par ailleurs, selon l’art. 16 al. 2 LPolC (Loi vaudoise sur la police des chiens du 31 octobre 2006 ; RSV 133.75), tout détenteur d’un chien doit être en mesure de la maîtriser à tout moment par un moyen sonore ou par le geste, en particulier en présence de public ou d’animaux. A défaut, le chien doit être tenu en laisse et si nécessaire porter une muselière. Restent réservées les dispositions de la loi sur la faune. c) En l’espèce, le prévenu, en tant que détenteur d’un animal, était tenu de prendre les mesures nécessaires et utiles pour éviter tout accident. Il avait donc une position de garant. Il ressort des pièces du dossier que la chienne du prévenu avait déjà été signalée à deux reprises, en 2004 et en 2009, au Service de la consommation et des affaires vétérinaires en raison d’aboiements qui importunaient le voisinage et d’un comportement agressif et menaçant à l’égard des personnes (P. 11/40 et 11/59). Tout en renonçant à une évaluation du chien, le service en question avait, le 31 août 2009, invité le prévenu à prendre « toutes les précautions nécessaires afin d’éviter un nouvel incident impliquant votre animal, auquel cas d’autres mesures devraient être prises », et a porté à sa connaissance la teneur de l’art. 16 LPolC (P. 11/40). En outre, la propriété du prévenu n’était qu’en partie clôturée, alors pourtant qu’elle est bordée par un trottoir public. Par décision du 5 septembre 2011, le vétérinaire cantonal a imposé au prévenu de veiller à ce que sa chienne, sur la propriété, se trouve soit à l’intérieur de la maison soit dans un enclos sécurisé et à ce que le jardin soit aménagé de manière à prévenir toute errance (P. 11/2, p. 3). Bien que cette décision soit postérieure aux faits visés par la présente procédure, on pouvait attendre du prévenu, au vu des signalements dont son chien avait été l’objet, qu’il prenne, dès la mise en garde du vétérinaire cantonal du 31 août 2009, des dispositions pour éviter que sa chienne, échappant à son contrôle, ne gagne la voie publique, au risque de s’en prendre à une personne. A ce propos, il n’est pas possible d’affirmer à ce stade que le chien de la recourante a pénétré dans la propriété du prévenu. Cette version, soutenue par ce dernier (PV aud. 2) et confirmée par le témoin W.________, qui n’a pas vu la lésée tomber, se blesser, saigner ou boiter (PV aud. 3), est contredite par les déclarations de la plaignante, qui assure quant à elle que son chien était à ses pieds, et par la déposition de V.________, qui affirme que les événements ont eu lieu sur le trottoir (PV aud. 2, p. 2). Quoi qu’il soit, les éléments qui précèdent tendent à démontrer que le prévenu n’a pas surveillé son chien avec toute l’attention commandée par les circonstances. S’il l’avait fait, la chienne R.________ n’aurait assurément pas bousculé la recourante et celle-ci ne se serait pas blessée en tombant. Il existe dès lors des indices suggérant que le prévenu s’est rendu coupable de lésions corporelles simples par négligence, au sens de l’art. 125 al. 1 CP. Il appartiendra au Ministère public de tirer les conclusions juridiques que ce constat comporte.</w:t>
      </w:r>
    </w:p>
    <w:p>
      <w:r>
        <w:rPr>
          <w:b/>
        </w:rPr>
        <w:t>E. 4</w:t>
      </w:r>
    </w:p>
    <w:p>
      <w:r>
        <w:t>En définitive, le recours doit être admis, l'ordonnance attaquée annulée et le dossier de la cause renvoyé au Ministère public de l’arrondissement de Lausanne pour qu'il procède dans le sens des considérants qui précèdent, puis rende une nouvelle décision. S’agissant des dépens réclamés par la recourante, il lui appartiendra d’adresser à la fin de la procédure ses prétentions à l’autorité pénale compétente selon l’art. 433 al. 2 CPP (CREP 16 avril 2013/279 c. 4, et les références citées). Enfin, les frais de la procédure de recours, par 660 fr. (art. 20 al. 1 TFJP [Tarif des frais judiciaires pénaux du 28 septembre 2010; RSV 312.03.1]), seront laissés à la charge de l'Etat (art. 428 al. 4 CPP). Par ces motifs, la Chambre des recours pénale, statuant à huis clos, prononce : I. Le recours est admis. II. L’ordonnance du 26 août 2013 est annulée. III. Le dossier de la cause est renvoyé au Ministère public de l’arrondissement de Lausanne pour qu’il procède dans le sens des considérants, puis rende une nouvelle décision. IV. Les frais d’arrêt, par 660 (six cent soixante francs), sont laissés à la charge de l’Etat. V. Le présent arrêt est exécutoire. Le président :               Le greffier : Du L'arrêt qui précède, dont la rédaction a été approuvée à huis clos, est notifié, par l'envoi d'une copie complète, à : - M. Astyanax Peca, avocat (pour Q.________), - M. 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