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209 vom 5. März 2014</w:t>
      </w:r>
    </w:p>
    <w:p>
      <w:r>
        <w:t>VD Tribunal cantonal, 2014-03-05, FR</w:t>
      </w:r>
    </w:p>
    <w:p>
      <w:r>
        <w:rPr>
          <w:b/>
        </w:rPr>
        <w:t xml:space="preserve">Quelle: </w:t>
      </w:r>
      <w:r>
        <w:t>https://mcp.opencaselaw.ch/entscheid/vd_findinfo_D_cision___2014___209</w:t>
      </w:r>
    </w:p>
    <w:p>
      <w:r>
        <w:t>FR: VD_FINDINFO Décision / 2014 / 209 du 5 mars 2014</w:t>
      </w:r>
    </w:p>
    <w:p>
      <w:r>
        <w:t>IT: VD_FINDINFO Décision / 2014 / 209 del 5 marzo 2014</w:t>
      </w:r>
    </w:p>
    <w:p>
      <w:pPr>
        <w:pStyle w:val="Heading2"/>
      </w:pPr>
      <w:r>
        <w:t>Regeste</w:t>
      </w:r>
    </w:p>
    <w:p>
      <w:r>
        <w:t>ORDONNANCE DE CONDAMNATION, RÉVISION{DÉCISION}, DÉCISION D'IRRECEVABILITÉ | 352 CPP (CH), 410 CPP (CH), 412 al. 2 CPP (CH)</w:t>
      </w:r>
    </w:p>
    <w:p>
      <w:pPr>
        <w:pStyle w:val="Heading2"/>
      </w:pPr>
      <w:r>
        <w:t>Erwägungen</w:t>
      </w:r>
    </w:p>
    <w:p>
      <w:r>
        <w:rPr>
          <w:b/>
        </w:rPr>
        <w:t>E. 1.1</w:t>
      </w:r>
    </w:p>
    <w:p>
      <w:r>
        <w:t>T.________ n’a pas précisé la voie par laquelle il entendait attaquer l’ordonnance pénale rendue à son encontre. Celle-ci doit en principe être contestée par la voie de l’opposition (art. 354 CPP [Code de procédure pénale suisse du 5 octobre 2007; RS 312.0]). Cette dernière doit être déposée dans un délai de dix jours à compter de la notification de l’ordonnance pénale (art. 354 al. 1 CPP). Les délais fixés en jours commencent à courir le jour qui suit leur notification ou l'évènement qui les déclenche (art. 90 al. 1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w:t>
      </w:r>
    </w:p>
    <w:p>
      <w:r>
        <w:rPr>
          <w:b/>
        </w:rPr>
        <w:t>E. 1.2</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si la décision est en contradiction flagrante avec une décision pénale rendue postérieurement sur les mêmes faits (al. 1 let. b) ou s'il est établi dans une autre procédure pénale que le résultat de la procédure a été influencé par une infraction (al. 1 let. c).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(ATF 130 IV 72 c. 2.3).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(ibidem). Cette jurisprudence, rendue avant l’entrée en vigueur du CPP, a été confirmée depuis lors (TF 6B_310/2011 du 20 juin 2011 c. 1.3; cf. ég. CAPE 18 juin 2013/157; CAPE 3 mai 2013/131). La juridiction d'appel examine préalablement la demande de révision en procédure écrite (art. 412 al. 1 CPP).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(TF 6B_310/2011 précité c. 1.6; cf. ég. TF 6B_415/2012 du 14 décembre 2012 c. 1.1).</w:t>
      </w:r>
    </w:p>
    <w:p>
      <w:r>
        <w:rPr>
          <w:b/>
        </w:rPr>
        <w:t>E. 1.3</w:t>
      </w:r>
    </w:p>
    <w:p>
      <w:r>
        <w:t>En l’espèce, T.________ se borne à contester être l’auteur des actes pour lesquels il a été condamné, sans exposer le moindre élément nouveau qui fonderait un moyen de révision. Il n’y a dès lors pas lieu d’entrer en matière sur le courrier du 19 février 2014 en tant qu’il constituerait une demande de révision.</w:t>
      </w:r>
    </w:p>
    <w:p>
      <w:r>
        <w:rPr>
          <w:b/>
        </w:rPr>
        <w:t>E. 2</w:t>
      </w:r>
    </w:p>
    <w:p>
      <w:r>
        <w:t>La présente décision sera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