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205 vom 12. Februar 2014</w:t>
      </w:r>
    </w:p>
    <w:p>
      <w:r>
        <w:t>VD Tribunal cantonal, 2014-02-12, FR</w:t>
      </w:r>
    </w:p>
    <w:p>
      <w:r>
        <w:rPr>
          <w:b/>
        </w:rPr>
        <w:t xml:space="preserve">Quelle: </w:t>
      </w:r>
      <w:r>
        <w:t>https://mcp.opencaselaw.ch/entscheid/vd_findinfo_D_cision___2014___205</w:t>
      </w:r>
    </w:p>
    <w:p>
      <w:r>
        <w:t>FR: VD_FINDINFO Décision / 2014 / 205 du 12 février 2014</w:t>
      </w:r>
    </w:p>
    <w:p>
      <w:r>
        <w:t>IT: VD_FINDINFO Décision / 2014 / 205 del 12 febbraio 2014</w:t>
      </w:r>
    </w:p>
    <w:p>
      <w:pPr>
        <w:pStyle w:val="Heading2"/>
      </w:pPr>
      <w:r>
        <w:t>Regeste</w:t>
      </w:r>
    </w:p>
    <w:p>
      <w:r>
        <w:t>RETARD INJUSTIFIÉ | 393 al. 2 let. a CPP (CH)</w:t>
      </w:r>
    </w:p>
    <w:p>
      <w:pPr>
        <w:pStyle w:val="Heading2"/>
      </w:pPr>
      <w:r>
        <w:t>Erwägungen</w:t>
      </w:r>
    </w:p>
    <w:p>
      <w:r>
        <w:rPr>
          <w:b/>
        </w:rPr>
        <w:t>E. 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des parties à la procédure ayant qualité pour recourir et satisfaisant aux conditions de forme posées par l'art. 385 al. 1 CPP, le recours est recevable.</w:t>
      </w:r>
    </w:p>
    <w:p>
      <w:r>
        <w:rPr>
          <w:b/>
        </w:rPr>
        <w:t>E. 2</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CREP 25 novembre 2013/690). Si l’autorité de recours constate un déni de justice ou un retard injustifié, elle peut donner des instructions à l’autorité concernée en lui impartissant des délais pour s’exécuter (art. 397 al. 4 CPP). b) En l’espèce, le procureur a certes procédé à l’audition de trois protagonistes de l’affaire en date du 13 juin 2012, et il a invité le prévenu G.________ à produire des pièces et le plaignant M.________ à étayer ses accusations et à prendre position sur les documents fournis par la partie adverse (P. 21). Excepté cela, il n’a accompli aucune mesure d’instruction concrète. En particulier, il ne s’est pas déterminé sur les réquisitions présentées par les plaignants et dont les premières l’ont été déjà dans la plainte de M.________ du 27 mars 2012 . Force est donc de constater qu’à ce jour, l’instruction de la plainte pénale déposée le 27 mars 2012 n’a pas véritablement commencé. Le dossier est pratiquement resté en suspens depuis le début de l’année 2013. La complexité des faits dénoncés et le nombre des réquisitions soumises au procureur ne suffisent pas à justifier une inactivité presque totale pendant une durée aussi prolongée. Il en va de même de l’insuffisance des ressources en personnel et de l’organisation du Ministère public ainsi que de la surcharge de travail des autorités de poursuite pénale. Il n’est en tout cas pas admissible que le procureur, pour toute prise de position, se soit borné à répondre le 10 septembre 2013 aux plaignants que l’affaire n’était pas prioritaire (P. 35). Dans ces conditions, il y a lieu de lui enjoindre de se prononcer, dans les meilleurs délais, et sans attendre le troisième trimestre de 2014, sur les réquisitions présentées par les plaignants les 19 mai 2012 (P. 8/1), 14 juin 2012 (P. 12), 17 mai 2013 (P. 29) et 3 septembre 2013 (P. 34) et de donner suite à celles qu’il jugera de nature à donner des résultats utiles à l’instruction.</w:t>
      </w:r>
    </w:p>
    <w:p>
      <w:r>
        <w:rPr>
          <w:b/>
        </w:rPr>
        <w:t>E. 3</w:t>
      </w:r>
    </w:p>
    <w:p>
      <w:r>
        <w:t>Sur le vu de ce qui précède, le recours pour retard injustifié doit être admis, le Ministère public étant invité à procéder dans le sens des considérants exposés ci-dessus (cf. art. 397 al. 4 CPP). S’agissant des dépens réclamés par les recourants, il appartiendra à ces derniers d’adresser à la fin de la procédure leurs prétentions à l’autorité pénale compétente selon l’art. 433 al. 2 CPP (CREP 16 avril 2013/279 c. 4 et les références citées). Les frais de la procédure de recours, constitués en l'espèce du seul émolument d'arrêt (art. 20 al. 1 TFJP [tarif des frais judiciaires pénaux; RSV 312.03.1]), seront laissés à la charge de l’Etat (art. 423 al. 1 CPP). Par ces motifs, la Chambre des recours pénale, statuant à huis clos, prononce : I. Le recours est admis. II. Le dossier de la cause est renvoyé au Procureur du Ministère public central, division entraide, criminalité économique et informatique pour qu’il procède dans le sens des considérants. III. Les frais du présent arrêt, par 660 fr. (six cent soixante francs), sont laissés à la charge de l’Etat. IV. Le présent arrêt est exécutoire. Le président :               Le greffier : Du L'arrêt qui précède, dont la rédaction a été approuvée à huis clos, est notifié, par l'envoi d'une copie complète, à : - M. Jean-Michel Duc, avocat (pour M.________, Z.________, U. et F.), - M. Jérôme Bénédict, avocat (pour G.________), - M. Adrien Schneider, avocat (pour Q.________),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